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tbl>
      <w:tblPr>
        <w:tblStyle w:val="11"/>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1227"/>
        <w:gridCol w:w="2726"/>
        <w:gridCol w:w="1221"/>
        <w:gridCol w:w="1222"/>
        <w:gridCol w:w="848"/>
      </w:tblGrid>
      <w:tr w14:paraId="255F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867" w:type="dxa"/>
            <w:tcBorders>
              <w:top w:val="single" w:color="auto" w:sz="4" w:space="0"/>
              <w:left w:val="single" w:color="auto" w:sz="4" w:space="0"/>
              <w:bottom w:val="single" w:color="auto" w:sz="4" w:space="0"/>
              <w:right w:val="single" w:color="auto" w:sz="4" w:space="0"/>
            </w:tcBorders>
            <w:vAlign w:val="center"/>
          </w:tcPr>
          <w:p w14:paraId="36730224">
            <w:pPr>
              <w:widowControl/>
              <w:autoSpaceDE w:val="0"/>
              <w:spacing w:line="440" w:lineRule="exact"/>
              <w:jc w:val="center"/>
              <w:outlineLvl w:val="1"/>
              <w:rPr>
                <w:rFonts w:ascii="仿宋" w:eastAsia="仿宋"/>
                <w:b/>
                <w:bCs/>
                <w:sz w:val="28"/>
                <w:szCs w:val="28"/>
              </w:rPr>
            </w:pPr>
            <w:bookmarkStart w:id="1" w:name="_Toc16880"/>
            <w:r>
              <w:rPr>
                <w:rFonts w:hint="eastAsia" w:ascii="仿宋" w:hAnsi="仿宋" w:eastAsia="仿宋"/>
                <w:b/>
                <w:bCs/>
                <w:sz w:val="28"/>
                <w:szCs w:val="28"/>
              </w:rPr>
              <w:t>采购品目</w:t>
            </w:r>
            <w:bookmarkEnd w:id="1"/>
          </w:p>
          <w:p w14:paraId="4278CB63">
            <w:pPr>
              <w:widowControl/>
              <w:autoSpaceDE w:val="0"/>
              <w:spacing w:line="440" w:lineRule="exact"/>
              <w:jc w:val="center"/>
              <w:outlineLvl w:val="1"/>
              <w:rPr>
                <w:rFonts w:ascii="仿宋" w:eastAsia="仿宋"/>
                <w:b/>
                <w:bCs/>
                <w:sz w:val="28"/>
                <w:szCs w:val="28"/>
              </w:rPr>
            </w:pPr>
            <w:r>
              <w:rPr>
                <w:rFonts w:hint="eastAsia" w:ascii="仿宋" w:hAnsi="仿宋" w:eastAsia="仿宋"/>
                <w:b/>
                <w:bCs/>
                <w:sz w:val="28"/>
                <w:szCs w:val="28"/>
              </w:rPr>
              <w:t>名称</w:t>
            </w:r>
          </w:p>
        </w:tc>
        <w:tc>
          <w:tcPr>
            <w:tcW w:w="1050" w:type="dxa"/>
            <w:tcBorders>
              <w:top w:val="single" w:color="auto" w:sz="4" w:space="0"/>
              <w:left w:val="nil"/>
              <w:bottom w:val="single" w:color="auto" w:sz="4" w:space="0"/>
              <w:right w:val="single" w:color="auto" w:sz="4" w:space="0"/>
            </w:tcBorders>
            <w:vAlign w:val="center"/>
          </w:tcPr>
          <w:p w14:paraId="18C67A68">
            <w:pPr>
              <w:widowControl/>
              <w:autoSpaceDE w:val="0"/>
              <w:spacing w:line="440" w:lineRule="exact"/>
              <w:jc w:val="center"/>
              <w:outlineLvl w:val="1"/>
              <w:rPr>
                <w:rFonts w:ascii="仿宋" w:eastAsia="仿宋"/>
                <w:b/>
                <w:bCs/>
                <w:sz w:val="28"/>
                <w:szCs w:val="28"/>
              </w:rPr>
            </w:pPr>
            <w:bookmarkStart w:id="2" w:name="_Toc16630"/>
            <w:r>
              <w:rPr>
                <w:rFonts w:hint="eastAsia" w:ascii="仿宋" w:hAnsi="仿宋" w:eastAsia="仿宋"/>
                <w:b/>
                <w:bCs/>
                <w:sz w:val="28"/>
                <w:szCs w:val="28"/>
              </w:rPr>
              <w:t>单位</w:t>
            </w:r>
            <w:bookmarkEnd w:id="2"/>
          </w:p>
        </w:tc>
        <w:tc>
          <w:tcPr>
            <w:tcW w:w="2332" w:type="dxa"/>
            <w:tcBorders>
              <w:top w:val="single" w:color="auto" w:sz="4" w:space="0"/>
              <w:left w:val="nil"/>
              <w:bottom w:val="single" w:color="auto" w:sz="4" w:space="0"/>
              <w:right w:val="single" w:color="auto" w:sz="4" w:space="0"/>
            </w:tcBorders>
            <w:vAlign w:val="center"/>
          </w:tcPr>
          <w:p w14:paraId="2C8B3FDD">
            <w:pPr>
              <w:autoSpaceDE w:val="0"/>
              <w:spacing w:line="440" w:lineRule="exact"/>
              <w:jc w:val="center"/>
              <w:rPr>
                <w:rFonts w:ascii="仿宋" w:eastAsia="仿宋"/>
                <w:b/>
                <w:bCs/>
                <w:sz w:val="28"/>
                <w:szCs w:val="28"/>
              </w:rPr>
            </w:pPr>
            <w:r>
              <w:rPr>
                <w:rFonts w:hint="eastAsia" w:ascii="仿宋" w:hAnsi="仿宋" w:eastAsia="仿宋"/>
                <w:b/>
                <w:bCs/>
                <w:sz w:val="28"/>
                <w:szCs w:val="28"/>
              </w:rPr>
              <w:t>优惠报价</w:t>
            </w:r>
          </w:p>
          <w:p w14:paraId="167D7272">
            <w:pPr>
              <w:autoSpaceDE w:val="0"/>
              <w:spacing w:line="440" w:lineRule="exact"/>
              <w:jc w:val="center"/>
              <w:rPr>
                <w:rFonts w:ascii="仿宋" w:eastAsia="仿宋"/>
                <w:b/>
                <w:bCs/>
                <w:sz w:val="28"/>
                <w:szCs w:val="28"/>
              </w:rPr>
            </w:pPr>
            <w:r>
              <w:rPr>
                <w:rFonts w:hint="eastAsia" w:ascii="仿宋" w:hAnsi="仿宋" w:eastAsia="仿宋"/>
                <w:b/>
                <w:bCs/>
                <w:sz w:val="28"/>
                <w:szCs w:val="28"/>
              </w:rPr>
              <w:t>（人民币/元/人）</w:t>
            </w:r>
          </w:p>
        </w:tc>
        <w:tc>
          <w:tcPr>
            <w:tcW w:w="1045" w:type="dxa"/>
            <w:tcBorders>
              <w:top w:val="single" w:color="auto" w:sz="4" w:space="0"/>
              <w:left w:val="nil"/>
              <w:bottom w:val="single" w:color="auto" w:sz="4" w:space="0"/>
              <w:right w:val="single" w:color="auto" w:sz="4" w:space="0"/>
            </w:tcBorders>
            <w:vAlign w:val="center"/>
          </w:tcPr>
          <w:p w14:paraId="5D743F2B">
            <w:pPr>
              <w:autoSpaceDE w:val="0"/>
              <w:spacing w:line="440" w:lineRule="exact"/>
              <w:jc w:val="center"/>
              <w:rPr>
                <w:rFonts w:ascii="仿宋" w:eastAsia="仿宋"/>
                <w:b/>
                <w:bCs/>
                <w:sz w:val="28"/>
                <w:szCs w:val="28"/>
              </w:rPr>
            </w:pPr>
            <w:r>
              <w:rPr>
                <w:rFonts w:hint="eastAsia" w:ascii="仿宋" w:hAnsi="仿宋" w:eastAsia="仿宋"/>
                <w:b/>
                <w:bCs/>
                <w:sz w:val="28"/>
                <w:szCs w:val="28"/>
              </w:rPr>
              <w:t>优惠上浮率（%）</w:t>
            </w:r>
          </w:p>
        </w:tc>
        <w:tc>
          <w:tcPr>
            <w:tcW w:w="1045" w:type="dxa"/>
            <w:tcBorders>
              <w:top w:val="single" w:color="auto" w:sz="4" w:space="0"/>
              <w:left w:val="nil"/>
              <w:bottom w:val="single" w:color="auto" w:sz="4" w:space="0"/>
              <w:right w:val="single" w:color="auto" w:sz="4" w:space="0"/>
            </w:tcBorders>
            <w:vAlign w:val="center"/>
          </w:tcPr>
          <w:p w14:paraId="7D3B8BC0">
            <w:pPr>
              <w:autoSpaceDE w:val="0"/>
              <w:spacing w:line="440" w:lineRule="exact"/>
              <w:jc w:val="center"/>
              <w:rPr>
                <w:rFonts w:ascii="仿宋" w:eastAsia="仿宋"/>
                <w:sz w:val="28"/>
                <w:szCs w:val="28"/>
              </w:rPr>
            </w:pPr>
            <w:r>
              <w:rPr>
                <w:rFonts w:hint="eastAsia" w:ascii="仿宋" w:hAnsi="仿宋" w:eastAsia="仿宋"/>
                <w:b/>
                <w:bCs/>
                <w:sz w:val="28"/>
                <w:szCs w:val="28"/>
              </w:rPr>
              <w:t>交货期</w:t>
            </w:r>
          </w:p>
        </w:tc>
        <w:tc>
          <w:tcPr>
            <w:tcW w:w="725" w:type="dxa"/>
            <w:tcBorders>
              <w:top w:val="single" w:color="auto" w:sz="4" w:space="0"/>
              <w:left w:val="nil"/>
              <w:bottom w:val="single" w:color="auto" w:sz="4" w:space="0"/>
              <w:right w:val="single" w:color="auto" w:sz="4" w:space="0"/>
            </w:tcBorders>
            <w:vAlign w:val="center"/>
          </w:tcPr>
          <w:p w14:paraId="499AA5DB">
            <w:pPr>
              <w:autoSpaceDE w:val="0"/>
              <w:spacing w:line="440" w:lineRule="exact"/>
              <w:jc w:val="center"/>
              <w:rPr>
                <w:rFonts w:ascii="仿宋" w:eastAsia="仿宋"/>
                <w:b/>
                <w:bCs/>
                <w:sz w:val="28"/>
                <w:szCs w:val="28"/>
              </w:rPr>
            </w:pPr>
            <w:r>
              <w:rPr>
                <w:rFonts w:hint="eastAsia" w:ascii="仿宋" w:hAnsi="仿宋" w:eastAsia="仿宋"/>
                <w:b/>
                <w:bCs/>
                <w:sz w:val="28"/>
                <w:szCs w:val="28"/>
              </w:rPr>
              <w:t>备注</w:t>
            </w:r>
          </w:p>
        </w:tc>
      </w:tr>
      <w:tr w14:paraId="366C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867" w:type="dxa"/>
            <w:tcBorders>
              <w:top w:val="single" w:color="auto" w:sz="4" w:space="0"/>
              <w:left w:val="single" w:color="auto" w:sz="4" w:space="0"/>
              <w:bottom w:val="single" w:color="auto" w:sz="4" w:space="0"/>
              <w:right w:val="single" w:color="auto" w:sz="4" w:space="0"/>
            </w:tcBorders>
            <w:vAlign w:val="center"/>
          </w:tcPr>
          <w:p w14:paraId="65B96970">
            <w:pPr>
              <w:autoSpaceDE w:val="0"/>
              <w:spacing w:line="440" w:lineRule="exact"/>
              <w:jc w:val="center"/>
              <w:rPr>
                <w:rFonts w:ascii="仿宋" w:eastAsia="仿宋"/>
                <w:sz w:val="28"/>
                <w:szCs w:val="28"/>
              </w:rPr>
            </w:pPr>
            <w:r>
              <w:rPr>
                <w:rFonts w:hint="eastAsia" w:ascii="仿宋" w:hAnsi="仿宋" w:eastAsia="仿宋"/>
                <w:sz w:val="28"/>
                <w:szCs w:val="28"/>
                <w:lang w:val="en-US" w:eastAsia="zh-CN"/>
              </w:rPr>
              <w:t>会员生日慰问品</w:t>
            </w:r>
            <w:r>
              <w:rPr>
                <w:rFonts w:hint="eastAsia" w:ascii="仿宋" w:hAnsi="仿宋" w:eastAsia="仿宋"/>
                <w:sz w:val="28"/>
                <w:szCs w:val="28"/>
              </w:rPr>
              <w:t>提货券</w:t>
            </w:r>
          </w:p>
        </w:tc>
        <w:tc>
          <w:tcPr>
            <w:tcW w:w="1050" w:type="dxa"/>
            <w:tcBorders>
              <w:top w:val="single" w:color="auto" w:sz="4" w:space="0"/>
              <w:left w:val="nil"/>
              <w:bottom w:val="single" w:color="auto" w:sz="4" w:space="0"/>
              <w:right w:val="single" w:color="auto" w:sz="4" w:space="0"/>
            </w:tcBorders>
            <w:vAlign w:val="center"/>
          </w:tcPr>
          <w:p w14:paraId="51EA96F2">
            <w:pPr>
              <w:autoSpaceDE w:val="0"/>
              <w:spacing w:line="440" w:lineRule="exact"/>
              <w:jc w:val="center"/>
              <w:rPr>
                <w:rFonts w:ascii="仿宋" w:eastAsia="仿宋"/>
                <w:sz w:val="28"/>
                <w:szCs w:val="28"/>
              </w:rPr>
            </w:pPr>
            <w:r>
              <w:rPr>
                <w:rFonts w:hint="eastAsia" w:ascii="仿宋" w:hAnsi="仿宋" w:eastAsia="仿宋"/>
                <w:sz w:val="28"/>
                <w:szCs w:val="28"/>
              </w:rPr>
              <w:t>人/份</w:t>
            </w:r>
          </w:p>
        </w:tc>
        <w:tc>
          <w:tcPr>
            <w:tcW w:w="2332" w:type="dxa"/>
            <w:tcBorders>
              <w:top w:val="single" w:color="auto" w:sz="4" w:space="0"/>
              <w:left w:val="nil"/>
              <w:bottom w:val="single" w:color="auto" w:sz="4" w:space="0"/>
              <w:right w:val="single" w:color="auto" w:sz="4" w:space="0"/>
            </w:tcBorders>
            <w:vAlign w:val="center"/>
          </w:tcPr>
          <w:p w14:paraId="0D04DA6D">
            <w:pPr>
              <w:autoSpaceDE w:val="0"/>
              <w:spacing w:line="440" w:lineRule="exact"/>
              <w:jc w:val="left"/>
              <w:rPr>
                <w:rFonts w:ascii="仿宋" w:eastAsia="仿宋"/>
                <w:sz w:val="28"/>
                <w:szCs w:val="28"/>
              </w:rPr>
            </w:pPr>
            <w:r>
              <w:rPr>
                <w:rFonts w:hint="eastAsia" w:ascii="仿宋" w:hAnsi="仿宋" w:eastAsia="仿宋"/>
                <w:sz w:val="28"/>
                <w:szCs w:val="28"/>
              </w:rPr>
              <w:t>大写：</w:t>
            </w:r>
          </w:p>
          <w:p w14:paraId="0341A0CE">
            <w:pPr>
              <w:widowControl/>
              <w:autoSpaceDE w:val="0"/>
              <w:spacing w:line="440" w:lineRule="exact"/>
              <w:outlineLvl w:val="1"/>
              <w:rPr>
                <w:rFonts w:ascii="仿宋" w:eastAsia="仿宋"/>
                <w:sz w:val="28"/>
                <w:szCs w:val="28"/>
              </w:rPr>
            </w:pPr>
            <w:bookmarkStart w:id="3" w:name="_Toc8170"/>
            <w:r>
              <w:rPr>
                <w:rFonts w:hint="eastAsia" w:ascii="仿宋" w:hAnsi="仿宋" w:eastAsia="仿宋"/>
                <w:sz w:val="28"/>
                <w:szCs w:val="28"/>
              </w:rPr>
              <w:t>小写：</w:t>
            </w:r>
            <w:bookmarkEnd w:id="3"/>
          </w:p>
        </w:tc>
        <w:tc>
          <w:tcPr>
            <w:tcW w:w="1045" w:type="dxa"/>
            <w:tcBorders>
              <w:top w:val="single" w:color="auto" w:sz="4" w:space="0"/>
              <w:left w:val="nil"/>
              <w:bottom w:val="single" w:color="auto" w:sz="4" w:space="0"/>
              <w:right w:val="single" w:color="auto" w:sz="4" w:space="0"/>
            </w:tcBorders>
            <w:vAlign w:val="center"/>
          </w:tcPr>
          <w:p w14:paraId="7DACAA7E">
            <w:pPr>
              <w:widowControl/>
              <w:autoSpaceDE w:val="0"/>
              <w:spacing w:line="440" w:lineRule="exact"/>
              <w:jc w:val="center"/>
              <w:rPr>
                <w:rFonts w:ascii="仿宋" w:eastAsia="仿宋"/>
                <w:sz w:val="28"/>
                <w:szCs w:val="28"/>
              </w:rPr>
            </w:pPr>
          </w:p>
        </w:tc>
        <w:tc>
          <w:tcPr>
            <w:tcW w:w="1045" w:type="dxa"/>
            <w:tcBorders>
              <w:top w:val="single" w:color="auto" w:sz="4" w:space="0"/>
              <w:left w:val="nil"/>
              <w:bottom w:val="single" w:color="auto" w:sz="4" w:space="0"/>
              <w:right w:val="single" w:color="auto" w:sz="4" w:space="0"/>
            </w:tcBorders>
            <w:vAlign w:val="center"/>
          </w:tcPr>
          <w:p w14:paraId="3FC94008">
            <w:pPr>
              <w:widowControl/>
              <w:autoSpaceDE w:val="0"/>
              <w:spacing w:line="440" w:lineRule="exact"/>
              <w:jc w:val="center"/>
              <w:rPr>
                <w:rFonts w:ascii="仿宋" w:eastAsia="仿宋"/>
                <w:sz w:val="28"/>
                <w:szCs w:val="28"/>
              </w:rPr>
            </w:pPr>
          </w:p>
        </w:tc>
        <w:tc>
          <w:tcPr>
            <w:tcW w:w="725" w:type="dxa"/>
            <w:tcBorders>
              <w:top w:val="single" w:color="auto" w:sz="4" w:space="0"/>
              <w:left w:val="nil"/>
              <w:bottom w:val="single" w:color="auto" w:sz="4" w:space="0"/>
              <w:right w:val="single" w:color="auto" w:sz="4" w:space="0"/>
            </w:tcBorders>
            <w:vAlign w:val="center"/>
          </w:tcPr>
          <w:p w14:paraId="42F3A9AC">
            <w:pPr>
              <w:widowControl/>
              <w:autoSpaceDE w:val="0"/>
              <w:spacing w:line="440" w:lineRule="exact"/>
              <w:jc w:val="center"/>
              <w:rPr>
                <w:rFonts w:ascii="仿宋" w:eastAsia="仿宋"/>
                <w:sz w:val="28"/>
                <w:szCs w:val="28"/>
              </w:rPr>
            </w:pPr>
          </w:p>
        </w:tc>
      </w:tr>
    </w:tbl>
    <w:p w14:paraId="2794A810">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仿宋_GB2312" w:hAnsi="仿宋_GB2312" w:eastAsia="仿宋_GB2312" w:cs="仿宋_GB2312"/>
          <w:b/>
          <w:bCs/>
          <w:color w:val="auto"/>
          <w:sz w:val="24"/>
          <w:szCs w:val="32"/>
          <w:highlight w:val="none"/>
        </w:rPr>
      </w:pPr>
      <w:r>
        <w:rPr>
          <w:rFonts w:hint="eastAsia" w:ascii="仿宋_GB2312" w:hAnsi="仿宋_GB2312" w:eastAsia="仿宋_GB2312" w:cs="仿宋_GB2312"/>
          <w:b/>
          <w:bCs/>
          <w:color w:val="auto"/>
          <w:sz w:val="24"/>
          <w:szCs w:val="32"/>
          <w:highlight w:val="none"/>
        </w:rPr>
        <w:t>注：</w:t>
      </w:r>
    </w:p>
    <w:p w14:paraId="7DD732CF">
      <w:pPr>
        <w:numPr>
          <w:ilvl w:val="0"/>
          <w:numId w:val="1"/>
        </w:numPr>
        <w:adjustRightInd w:val="0"/>
        <w:snapToGrid w:val="0"/>
        <w:ind w:firstLine="480"/>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比选申请人须按要求填写所有信息，不得随意更改本表格式。</w:t>
      </w:r>
    </w:p>
    <w:p w14:paraId="24FAB2CD">
      <w:pPr>
        <w:numPr>
          <w:ilvl w:val="0"/>
          <w:numId w:val="1"/>
        </w:numPr>
        <w:adjustRightInd w:val="0"/>
        <w:snapToGrid w:val="0"/>
        <w:ind w:firstLine="480"/>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bCs/>
          <w:color w:val="auto"/>
          <w:sz w:val="24"/>
          <w:szCs w:val="32"/>
          <w:highlight w:val="none"/>
          <w:vertAlign w:val="baseline"/>
          <w:lang w:val="en-US" w:eastAsia="zh-CN"/>
        </w:rPr>
        <w:t>投标报价</w:t>
      </w:r>
      <w:r>
        <w:rPr>
          <w:rFonts w:hint="eastAsia" w:ascii="仿宋_GB2312" w:hAnsi="仿宋_GB2312" w:eastAsia="仿宋_GB2312" w:cs="仿宋_GB2312"/>
          <w:color w:val="auto"/>
          <w:sz w:val="24"/>
          <w:szCs w:val="32"/>
          <w:highlight w:val="none"/>
        </w:rPr>
        <w:t>是</w:t>
      </w:r>
      <w:r>
        <w:rPr>
          <w:rFonts w:hint="eastAsia" w:ascii="仿宋_GB2312" w:hAnsi="仿宋_GB2312" w:eastAsia="仿宋_GB2312" w:cs="仿宋_GB2312"/>
          <w:color w:val="auto"/>
          <w:sz w:val="24"/>
          <w:szCs w:val="32"/>
          <w:highlight w:val="none"/>
          <w:lang w:val="en-US" w:eastAsia="zh-CN"/>
        </w:rPr>
        <w:t>采购</w:t>
      </w:r>
      <w:r>
        <w:rPr>
          <w:rFonts w:hint="eastAsia" w:ascii="仿宋_GB2312" w:hAnsi="仿宋_GB2312" w:eastAsia="仿宋_GB2312" w:cs="仿宋_GB2312"/>
          <w:color w:val="auto"/>
          <w:sz w:val="24"/>
          <w:szCs w:val="32"/>
          <w:highlight w:val="none"/>
        </w:rPr>
        <w:t>文件所确定的</w:t>
      </w:r>
      <w:r>
        <w:rPr>
          <w:rFonts w:hint="eastAsia" w:ascii="仿宋_GB2312" w:hAnsi="仿宋_GB2312" w:eastAsia="仿宋_GB2312" w:cs="仿宋_GB2312"/>
          <w:color w:val="auto"/>
          <w:sz w:val="24"/>
          <w:szCs w:val="32"/>
          <w:highlight w:val="none"/>
          <w:lang w:val="en-US" w:eastAsia="zh-CN"/>
        </w:rPr>
        <w:t>采购</w:t>
      </w:r>
      <w:r>
        <w:rPr>
          <w:rFonts w:hint="eastAsia" w:ascii="仿宋_GB2312" w:hAnsi="仿宋_GB2312" w:eastAsia="仿宋_GB2312" w:cs="仿宋_GB2312"/>
          <w:color w:val="auto"/>
          <w:sz w:val="24"/>
          <w:szCs w:val="32"/>
          <w:highlight w:val="none"/>
        </w:rPr>
        <w:t>范围内全部工作内容的价格表现，包括但不限于以下内容：所有货物、服务、税金、利润、管理费等完成本项目相关的一切费用。</w:t>
      </w:r>
    </w:p>
    <w:p w14:paraId="7F6CFE5F">
      <w:pPr>
        <w:numPr>
          <w:ilvl w:val="0"/>
          <w:numId w:val="1"/>
        </w:numPr>
        <w:adjustRightInd w:val="0"/>
        <w:snapToGrid w:val="0"/>
        <w:ind w:firstLine="480"/>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投标报价（或投标单价）不得低于采购文件中规定的最低限价，否则按无效投标处理。</w:t>
      </w:r>
    </w:p>
    <w:p w14:paraId="703F5E21">
      <w:pPr>
        <w:autoSpaceDE w:val="0"/>
        <w:adjustRightInd w:val="0"/>
        <w:spacing w:line="540" w:lineRule="exact"/>
        <w:ind w:firstLine="490" w:firstLineChars="175"/>
        <w:jc w:val="left"/>
        <w:rPr>
          <w:rFonts w:hint="eastAsia" w:ascii="仿宋" w:hAnsi="仿宋" w:eastAsia="仿宋"/>
          <w:bCs/>
          <w:sz w:val="28"/>
          <w:szCs w:val="28"/>
        </w:rPr>
      </w:pPr>
    </w:p>
    <w:p w14:paraId="3CDE0582">
      <w:pPr>
        <w:autoSpaceDE w:val="0"/>
        <w:adjustRightInd w:val="0"/>
        <w:spacing w:line="540" w:lineRule="exact"/>
        <w:ind w:firstLine="490" w:firstLineChars="175"/>
        <w:jc w:val="left"/>
        <w:rPr>
          <w:rFonts w:hint="eastAsia" w:ascii="仿宋" w:hAnsi="仿宋" w:eastAsia="仿宋"/>
          <w:bCs/>
          <w:sz w:val="28"/>
          <w:szCs w:val="28"/>
        </w:rPr>
      </w:pPr>
    </w:p>
    <w:p w14:paraId="1AEEAD1C">
      <w:pPr>
        <w:autoSpaceDE w:val="0"/>
        <w:adjustRightInd w:val="0"/>
        <w:spacing w:line="540" w:lineRule="exact"/>
        <w:ind w:firstLine="490" w:firstLineChars="175"/>
        <w:jc w:val="left"/>
        <w:rPr>
          <w:rFonts w:hint="eastAsia" w:ascii="仿宋" w:hAnsi="仿宋" w:eastAsia="仿宋"/>
          <w:bCs/>
          <w:sz w:val="28"/>
          <w:szCs w:val="28"/>
        </w:rPr>
      </w:pPr>
    </w:p>
    <w:p w14:paraId="5958924F">
      <w:pPr>
        <w:autoSpaceDE w:val="0"/>
        <w:adjustRightInd w:val="0"/>
        <w:spacing w:line="540" w:lineRule="exact"/>
        <w:ind w:firstLine="490" w:firstLineChars="175"/>
        <w:jc w:val="left"/>
        <w:rPr>
          <w:rFonts w:hint="eastAsia" w:ascii="仿宋" w:hAnsi="仿宋" w:eastAsia="仿宋"/>
          <w:bCs/>
          <w:sz w:val="28"/>
          <w:szCs w:val="28"/>
        </w:rPr>
      </w:pPr>
    </w:p>
    <w:p w14:paraId="3BCFBFF6">
      <w:pPr>
        <w:autoSpaceDE w:val="0"/>
        <w:adjustRightInd w:val="0"/>
        <w:spacing w:line="540" w:lineRule="exact"/>
        <w:ind w:firstLine="490" w:firstLineChars="175"/>
        <w:jc w:val="left"/>
        <w:rPr>
          <w:rFonts w:hint="eastAsia" w:ascii="仿宋" w:hAnsi="仿宋" w:eastAsia="仿宋"/>
          <w:bCs/>
          <w:sz w:val="28"/>
          <w:szCs w:val="28"/>
        </w:rPr>
      </w:pPr>
    </w:p>
    <w:p w14:paraId="7E21609C">
      <w:pPr>
        <w:autoSpaceDE w:val="0"/>
        <w:adjustRightInd w:val="0"/>
        <w:spacing w:line="540" w:lineRule="exact"/>
        <w:ind w:firstLine="490" w:firstLineChars="175"/>
        <w:jc w:val="left"/>
        <w:rPr>
          <w:rFonts w:hint="eastAsia" w:ascii="仿宋" w:hAnsi="仿宋" w:eastAsia="仿宋"/>
          <w:bCs/>
          <w:sz w:val="28"/>
          <w:szCs w:val="28"/>
        </w:rPr>
      </w:pPr>
    </w:p>
    <w:p w14:paraId="0D6A6EFA">
      <w:pPr>
        <w:autoSpaceDE w:val="0"/>
        <w:adjustRightInd w:val="0"/>
        <w:spacing w:line="540" w:lineRule="exact"/>
        <w:ind w:firstLine="490" w:firstLineChars="175"/>
        <w:jc w:val="left"/>
        <w:rPr>
          <w:rFonts w:hint="eastAsia" w:ascii="仿宋" w:hAnsi="仿宋" w:eastAsia="仿宋"/>
          <w:bCs/>
          <w:sz w:val="28"/>
          <w:szCs w:val="28"/>
        </w:rPr>
      </w:pPr>
    </w:p>
    <w:p w14:paraId="76A2A09F">
      <w:pPr>
        <w:autoSpaceDE w:val="0"/>
        <w:adjustRightInd w:val="0"/>
        <w:spacing w:line="540" w:lineRule="exact"/>
        <w:ind w:firstLine="490" w:firstLineChars="175"/>
        <w:jc w:val="left"/>
        <w:rPr>
          <w:rFonts w:hint="eastAsia" w:ascii="仿宋" w:hAnsi="仿宋" w:eastAsia="仿宋"/>
          <w:bCs/>
          <w:sz w:val="28"/>
          <w:szCs w:val="28"/>
        </w:rPr>
      </w:pPr>
    </w:p>
    <w:p w14:paraId="27C9E704">
      <w:pPr>
        <w:autoSpaceDE w:val="0"/>
        <w:adjustRightInd w:val="0"/>
        <w:spacing w:line="540" w:lineRule="exact"/>
        <w:ind w:firstLine="490" w:firstLineChars="175"/>
        <w:jc w:val="left"/>
        <w:rPr>
          <w:rFonts w:ascii="仿宋" w:eastAsia="仿宋"/>
          <w:bCs/>
          <w:sz w:val="28"/>
          <w:szCs w:val="28"/>
        </w:rPr>
      </w:pPr>
      <w:r>
        <w:rPr>
          <w:rFonts w:hint="eastAsia" w:ascii="仿宋" w:hAnsi="仿宋" w:eastAsia="仿宋"/>
          <w:bCs/>
          <w:sz w:val="28"/>
          <w:szCs w:val="28"/>
        </w:rPr>
        <w:t>单位名称：（盖章）</w:t>
      </w:r>
    </w:p>
    <w:p w14:paraId="233487CD">
      <w:pPr>
        <w:autoSpaceDE w:val="0"/>
        <w:adjustRightInd w:val="0"/>
        <w:spacing w:line="540" w:lineRule="exact"/>
        <w:ind w:firstLine="490" w:firstLineChars="175"/>
        <w:jc w:val="left"/>
        <w:rPr>
          <w:rFonts w:ascii="仿宋" w:eastAsia="仿宋"/>
          <w:bCs/>
          <w:sz w:val="28"/>
          <w:szCs w:val="28"/>
        </w:rPr>
      </w:pPr>
      <w:r>
        <w:rPr>
          <w:rFonts w:hint="eastAsia" w:ascii="仿宋" w:hAnsi="仿宋" w:eastAsia="仿宋"/>
          <w:bCs/>
          <w:sz w:val="28"/>
          <w:szCs w:val="28"/>
        </w:rPr>
        <w:t>法定代表人或授权代表（签字）：</w:t>
      </w:r>
    </w:p>
    <w:p w14:paraId="23772AF0">
      <w:pPr>
        <w:autoSpaceDE w:val="0"/>
        <w:adjustRightInd w:val="0"/>
        <w:spacing w:line="540" w:lineRule="exact"/>
        <w:ind w:firstLine="490" w:firstLineChars="175"/>
        <w:jc w:val="left"/>
        <w:rPr>
          <w:rFonts w:ascii="仿宋" w:eastAsia="仿宋"/>
          <w:bCs/>
          <w:sz w:val="28"/>
          <w:szCs w:val="28"/>
        </w:rPr>
      </w:pPr>
      <w:r>
        <w:rPr>
          <w:rFonts w:hint="eastAsia" w:ascii="仿宋" w:hAnsi="仿宋" w:eastAsia="仿宋"/>
          <w:bCs/>
          <w:sz w:val="28"/>
          <w:szCs w:val="28"/>
        </w:rPr>
        <w:t>日期：</w:t>
      </w:r>
    </w:p>
    <w:p w14:paraId="23124824">
      <w:pPr>
        <w:numPr>
          <w:ilvl w:val="0"/>
          <w:numId w:val="0"/>
        </w:numPr>
        <w:adjustRightInd w:val="0"/>
        <w:snapToGrid w:val="0"/>
        <w:rPr>
          <w:rFonts w:hint="eastAsia" w:ascii="宋体" w:hAnsi="宋体" w:eastAsia="宋体" w:cs="宋体"/>
          <w:color w:val="auto"/>
          <w:szCs w:val="21"/>
          <w:highlight w:val="none"/>
        </w:rPr>
      </w:pP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pStyle w:val="3"/>
        <w:rPr>
          <w:rFonts w:hint="eastAsia" w:ascii="宋体" w:hAnsi="宋体" w:eastAsia="宋体" w:cs="宋体"/>
          <w:color w:val="auto"/>
          <w:highlight w:val="none"/>
        </w:rPr>
      </w:pPr>
    </w:p>
    <w:p w14:paraId="751D9008">
      <w:pPr>
        <w:pStyle w:val="2"/>
        <w:pageBreakBefore/>
        <w:rPr>
          <w:rFonts w:hint="eastAsia" w:ascii="宋体" w:hAnsi="宋体" w:eastAsia="宋体" w:cs="宋体"/>
          <w:color w:val="auto"/>
          <w:kern w:val="0"/>
          <w:sz w:val="32"/>
          <w:highlight w:val="none"/>
          <w:lang w:bidi="ar"/>
        </w:rPr>
        <w:sectPr>
          <w:headerReference r:id="rId3" w:type="default"/>
          <w:pgSz w:w="11906" w:h="16838" w:orient="landscape"/>
          <w:pgMar w:top="1440" w:right="1080" w:bottom="1322" w:left="1080" w:header="993" w:footer="1020" w:gutter="0"/>
          <w:pgNumType w:start="1"/>
          <w:cols w:space="720" w:num="1"/>
          <w:docGrid w:type="lines" w:linePitch="312" w:charSpace="0"/>
        </w:sectPr>
      </w:pP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海南省安宁医院2026年会员生日慰问品采购项目（二次）</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海南省安宁医院2026年会员生日慰问品采购项目（二次）</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bookmarkStart w:id="6" w:name="_GoBack"/>
      <w:bookmarkEnd w:id="6"/>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 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lang w:val="en-US" w:eastAsia="zh-CN"/>
        </w:rPr>
        <w:t>供应商</w:t>
      </w:r>
      <w:r>
        <w:rPr>
          <w:rFonts w:hint="eastAsia"/>
          <w:sz w:val="24"/>
          <w:szCs w:val="32"/>
        </w:rPr>
        <w:t>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4" w:name="_Toc529442058"/>
      <w:bookmarkStart w:id="5" w:name="_Toc217446090"/>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4"/>
      <w:bookmarkEnd w:id="5"/>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5C05A8"/>
    <w:rsid w:val="00B179D3"/>
    <w:rsid w:val="088A64CF"/>
    <w:rsid w:val="10B37DB7"/>
    <w:rsid w:val="187A3468"/>
    <w:rsid w:val="1AB361B9"/>
    <w:rsid w:val="1C0A03AE"/>
    <w:rsid w:val="377A1139"/>
    <w:rsid w:val="39BF0037"/>
    <w:rsid w:val="52292722"/>
    <w:rsid w:val="54D01B33"/>
    <w:rsid w:val="60F763D2"/>
    <w:rsid w:val="68B4097D"/>
    <w:rsid w:val="6ACB3360"/>
    <w:rsid w:val="70FA170C"/>
    <w:rsid w:val="752124FA"/>
    <w:rsid w:val="7C8A6D65"/>
    <w:rsid w:val="7F8C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483</Words>
  <Characters>490</Characters>
  <Lines>0</Lines>
  <Paragraphs>0</Paragraphs>
  <TotalTime>2</TotalTime>
  <ScaleCrop>false</ScaleCrop>
  <LinksUpToDate>false</LinksUpToDate>
  <CharactersWithSpaces>695</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2026-01-26T10:11:45Z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FD2A63F3519E4D5EB4F51C9CFE4008A4_11</vt:lpwstr>
  </property>
  <property fmtid="{D5CDD505-2E9C-101B-9397-08002B2CF9AE}" pid="4" name="KSOTemplateDocerSaveRecord">
    <vt:lpwstr>eyJoZGlkIjoiMGJmOTgyNmY4ZDI0ZDk5NzE0MTc3MzlmMzhmMzlmMTQiLCJ1c2VySWQiOiIzODE2OTQwOTYifQ==</vt:lpwstr>
  </property>
</Properties>
</file>