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99B27C">
      <w:pPr>
        <w:pStyle w:val="2"/>
        <w:keepNext/>
        <w:keepLines/>
        <w:pageBreakBefore w:val="0"/>
        <w:widowControl w:val="0"/>
        <w:numPr>
          <w:ilvl w:val="0"/>
          <w:numId w:val="0"/>
        </w:numPr>
        <w:kinsoku/>
        <w:wordWrap/>
        <w:overflowPunct/>
        <w:topLinePunct w:val="0"/>
        <w:autoSpaceDE/>
        <w:autoSpaceDN/>
        <w:bidi w:val="0"/>
        <w:adjustRightInd/>
        <w:snapToGrid/>
        <w:spacing w:before="0" w:after="0" w:line="240" w:lineRule="auto"/>
        <w:jc w:val="center"/>
        <w:textAlignment w:val="auto"/>
        <w:rPr>
          <w:rFonts w:hint="eastAsia"/>
          <w:sz w:val="21"/>
          <w:szCs w:val="21"/>
        </w:rPr>
      </w:pPr>
      <w:bookmarkStart w:id="0" w:name="_Toc27871"/>
      <w:r>
        <w:rPr>
          <w:rFonts w:hint="eastAsia"/>
          <w:color w:val="auto"/>
          <w:lang w:val="en-US" w:eastAsia="zh-CN"/>
        </w:rPr>
        <w:t>海南省青少年心理健康医学中心红外光灸疗机采购项目采购需求书</w:t>
      </w:r>
      <w:bookmarkEnd w:id="0"/>
    </w:p>
    <w:p w14:paraId="11DED94F">
      <w:pPr>
        <w:keepNext w:val="0"/>
        <w:keepLines w:val="0"/>
        <w:pageBreakBefore w:val="0"/>
        <w:widowControl/>
        <w:kinsoku/>
        <w:wordWrap/>
        <w:overflowPunct/>
        <w:topLinePunct w:val="0"/>
        <w:autoSpaceDE/>
        <w:autoSpaceDN/>
        <w:bidi w:val="0"/>
        <w:adjustRightInd/>
        <w:snapToGrid/>
        <w:spacing w:line="400" w:lineRule="exact"/>
        <w:ind w:firstLine="422" w:firstLineChars="200"/>
        <w:jc w:val="left"/>
        <w:textAlignment w:val="center"/>
        <w:rPr>
          <w:rFonts w:hint="eastAsia" w:ascii="宋体" w:hAnsi="宋体" w:eastAsia="宋体" w:cs="宋体"/>
          <w:b/>
          <w:bCs/>
          <w:sz w:val="21"/>
          <w:szCs w:val="21"/>
        </w:rPr>
      </w:pPr>
      <w:r>
        <w:rPr>
          <w:rFonts w:hint="eastAsia" w:ascii="宋体" w:hAnsi="宋体" w:eastAsia="宋体" w:cs="宋体"/>
          <w:b/>
          <w:bCs/>
          <w:sz w:val="21"/>
          <w:szCs w:val="21"/>
        </w:rPr>
        <w:t>一、采购项目概况</w:t>
      </w:r>
    </w:p>
    <w:p w14:paraId="2CB62692">
      <w:pPr>
        <w:keepNext w:val="0"/>
        <w:keepLines w:val="0"/>
        <w:pageBreakBefore w:val="0"/>
        <w:widowControl/>
        <w:kinsoku/>
        <w:wordWrap/>
        <w:overflowPunct/>
        <w:topLinePunct w:val="0"/>
        <w:autoSpaceDE/>
        <w:autoSpaceDN/>
        <w:bidi w:val="0"/>
        <w:adjustRightInd/>
        <w:snapToGrid/>
        <w:spacing w:line="400" w:lineRule="exact"/>
        <w:ind w:firstLine="420" w:firstLineChars="200"/>
        <w:jc w:val="left"/>
        <w:textAlignment w:val="center"/>
        <w:rPr>
          <w:rFonts w:hint="eastAsia"/>
          <w:sz w:val="22"/>
          <w:szCs w:val="28"/>
          <w:lang w:val="en-US" w:eastAsia="zh-CN"/>
        </w:rPr>
      </w:pPr>
      <w:r>
        <w:rPr>
          <w:rFonts w:hint="eastAsia" w:ascii="宋体" w:hAnsi="宋体" w:eastAsia="宋体" w:cs="宋体"/>
          <w:sz w:val="21"/>
          <w:szCs w:val="21"/>
        </w:rPr>
        <w:t>（一）项目名称：</w:t>
      </w:r>
      <w:r>
        <w:rPr>
          <w:rFonts w:hint="eastAsia"/>
          <w:sz w:val="22"/>
          <w:szCs w:val="28"/>
          <w:lang w:val="en-US" w:eastAsia="zh-CN"/>
        </w:rPr>
        <w:t>海南省青少年心理健康医学中心红外光灸疗机采购项目</w:t>
      </w:r>
    </w:p>
    <w:p w14:paraId="595069E6">
      <w:pPr>
        <w:keepNext w:val="0"/>
        <w:keepLines w:val="0"/>
        <w:pageBreakBefore w:val="0"/>
        <w:widowControl/>
        <w:kinsoku/>
        <w:wordWrap/>
        <w:overflowPunct/>
        <w:topLinePunct w:val="0"/>
        <w:autoSpaceDE/>
        <w:autoSpaceDN/>
        <w:bidi w:val="0"/>
        <w:adjustRightInd/>
        <w:snapToGrid/>
        <w:spacing w:line="400" w:lineRule="exact"/>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w:t>
      </w:r>
      <w:r>
        <w:rPr>
          <w:rFonts w:hint="eastAsia" w:ascii="宋体" w:hAnsi="宋体" w:cs="宋体"/>
          <w:sz w:val="21"/>
          <w:szCs w:val="21"/>
          <w:lang w:val="en-US" w:eastAsia="zh-CN"/>
        </w:rPr>
        <w:t>二</w:t>
      </w:r>
      <w:r>
        <w:rPr>
          <w:rFonts w:hint="eastAsia" w:ascii="宋体" w:hAnsi="宋体" w:eastAsia="宋体" w:cs="宋体"/>
          <w:sz w:val="21"/>
          <w:szCs w:val="21"/>
        </w:rPr>
        <w:t>）预算金额：</w:t>
      </w:r>
      <w:r>
        <w:rPr>
          <w:rFonts w:hint="eastAsia" w:ascii="宋体" w:hAnsi="宋体" w:cs="宋体"/>
          <w:sz w:val="21"/>
          <w:szCs w:val="21"/>
          <w:lang w:val="en-US" w:eastAsia="zh-CN"/>
        </w:rPr>
        <w:t>198</w:t>
      </w:r>
      <w:r>
        <w:rPr>
          <w:rFonts w:hint="eastAsia" w:ascii="宋体" w:hAnsi="宋体" w:eastAsia="宋体" w:cs="宋体"/>
          <w:sz w:val="21"/>
          <w:szCs w:val="21"/>
          <w:lang w:eastAsia="zh-CN"/>
        </w:rPr>
        <w:t>000.00</w:t>
      </w:r>
      <w:r>
        <w:rPr>
          <w:rFonts w:hint="eastAsia" w:ascii="宋体" w:hAnsi="宋体" w:eastAsia="宋体" w:cs="宋体"/>
          <w:sz w:val="21"/>
          <w:szCs w:val="21"/>
        </w:rPr>
        <w:t>元（超</w:t>
      </w:r>
      <w:r>
        <w:rPr>
          <w:rFonts w:hint="eastAsia" w:ascii="宋体" w:hAnsi="宋体" w:eastAsia="宋体" w:cs="宋体"/>
          <w:sz w:val="21"/>
          <w:szCs w:val="21"/>
          <w:lang w:val="en-US" w:eastAsia="zh-CN"/>
        </w:rPr>
        <w:t>最高限价限价</w:t>
      </w:r>
      <w:r>
        <w:rPr>
          <w:rFonts w:hint="eastAsia" w:ascii="宋体" w:hAnsi="宋体" w:eastAsia="宋体" w:cs="宋体"/>
          <w:sz w:val="21"/>
          <w:szCs w:val="21"/>
        </w:rPr>
        <w:t>报价无效）</w:t>
      </w:r>
    </w:p>
    <w:p w14:paraId="5AE2D597">
      <w:pPr>
        <w:keepNext w:val="0"/>
        <w:keepLines w:val="0"/>
        <w:pageBreakBefore w:val="0"/>
        <w:widowControl/>
        <w:kinsoku/>
        <w:wordWrap/>
        <w:overflowPunct/>
        <w:topLinePunct w:val="0"/>
        <w:autoSpaceDE/>
        <w:autoSpaceDN/>
        <w:bidi w:val="0"/>
        <w:adjustRightInd/>
        <w:snapToGrid/>
        <w:spacing w:line="400" w:lineRule="exact"/>
        <w:ind w:firstLine="422" w:firstLineChars="200"/>
        <w:jc w:val="left"/>
        <w:textAlignment w:val="center"/>
        <w:rPr>
          <w:rFonts w:hint="eastAsia" w:ascii="宋体" w:hAnsi="宋体" w:eastAsia="宋体" w:cs="宋体"/>
          <w:b/>
          <w:bCs/>
          <w:sz w:val="21"/>
          <w:szCs w:val="21"/>
        </w:rPr>
      </w:pPr>
      <w:bookmarkStart w:id="1" w:name="_Hlk138602872"/>
      <w:r>
        <w:rPr>
          <w:rFonts w:hint="eastAsia" w:ascii="宋体" w:hAnsi="宋体" w:eastAsia="宋体" w:cs="宋体"/>
          <w:b/>
          <w:bCs/>
          <w:sz w:val="21"/>
          <w:szCs w:val="21"/>
          <w:lang w:val="en-US" w:eastAsia="zh-CN"/>
        </w:rPr>
        <w:t>二</w:t>
      </w:r>
      <w:r>
        <w:rPr>
          <w:rFonts w:hint="eastAsia" w:ascii="宋体" w:hAnsi="宋体" w:eastAsia="宋体" w:cs="宋体"/>
          <w:b/>
          <w:bCs/>
          <w:sz w:val="21"/>
          <w:szCs w:val="21"/>
        </w:rPr>
        <w:t>、采购需求</w:t>
      </w:r>
    </w:p>
    <w:bookmarkEnd w:id="1"/>
    <w:tbl>
      <w:tblPr>
        <w:tblStyle w:val="9"/>
        <w:tblW w:w="543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0"/>
        <w:gridCol w:w="2099"/>
        <w:gridCol w:w="1278"/>
        <w:gridCol w:w="895"/>
        <w:gridCol w:w="1890"/>
        <w:gridCol w:w="1356"/>
        <w:gridCol w:w="1090"/>
      </w:tblGrid>
      <w:tr w14:paraId="43DC9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2" w:hRule="atLeast"/>
          <w:jc w:val="center"/>
        </w:trPr>
        <w:tc>
          <w:tcPr>
            <w:tcW w:w="351" w:type="pct"/>
            <w:vAlign w:val="center"/>
          </w:tcPr>
          <w:p w14:paraId="4A55142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eastAsia" w:ascii="宋体" w:hAnsi="宋体" w:eastAsia="宋体" w:cs="宋体"/>
                <w:b/>
                <w:sz w:val="21"/>
                <w:szCs w:val="21"/>
              </w:rPr>
            </w:pPr>
            <w:r>
              <w:rPr>
                <w:rFonts w:hint="eastAsia" w:ascii="宋体" w:hAnsi="宋体" w:eastAsia="宋体" w:cs="宋体"/>
                <w:b/>
                <w:sz w:val="21"/>
                <w:szCs w:val="21"/>
              </w:rPr>
              <w:t>序号</w:t>
            </w:r>
          </w:p>
        </w:tc>
        <w:tc>
          <w:tcPr>
            <w:tcW w:w="1133" w:type="pct"/>
            <w:vAlign w:val="center"/>
          </w:tcPr>
          <w:p w14:paraId="5FE3B4D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eastAsia" w:ascii="宋体" w:hAnsi="宋体" w:eastAsia="宋体" w:cs="宋体"/>
                <w:b/>
                <w:sz w:val="21"/>
                <w:szCs w:val="21"/>
              </w:rPr>
            </w:pPr>
            <w:r>
              <w:rPr>
                <w:rFonts w:hint="eastAsia" w:ascii="宋体" w:hAnsi="宋体" w:eastAsia="宋体" w:cs="宋体"/>
                <w:b/>
                <w:sz w:val="21"/>
                <w:szCs w:val="21"/>
              </w:rPr>
              <w:t>产品名称</w:t>
            </w:r>
          </w:p>
        </w:tc>
        <w:tc>
          <w:tcPr>
            <w:tcW w:w="690" w:type="pct"/>
            <w:vAlign w:val="center"/>
          </w:tcPr>
          <w:p w14:paraId="2FB5A03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eastAsia" w:ascii="宋体" w:hAnsi="宋体" w:eastAsia="宋体" w:cs="宋体"/>
                <w:b/>
                <w:sz w:val="21"/>
                <w:szCs w:val="21"/>
              </w:rPr>
            </w:pPr>
            <w:r>
              <w:rPr>
                <w:rFonts w:hint="eastAsia" w:ascii="宋体" w:hAnsi="宋体" w:eastAsia="宋体" w:cs="宋体"/>
                <w:b/>
                <w:sz w:val="21"/>
                <w:szCs w:val="21"/>
              </w:rPr>
              <w:t>计量单位</w:t>
            </w:r>
          </w:p>
        </w:tc>
        <w:tc>
          <w:tcPr>
            <w:tcW w:w="483" w:type="pct"/>
            <w:vAlign w:val="center"/>
          </w:tcPr>
          <w:p w14:paraId="28C2230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eastAsia" w:ascii="宋体" w:hAnsi="宋体" w:eastAsia="宋体" w:cs="宋体"/>
                <w:b/>
                <w:sz w:val="21"/>
                <w:szCs w:val="21"/>
              </w:rPr>
            </w:pPr>
            <w:r>
              <w:rPr>
                <w:rFonts w:hint="eastAsia" w:ascii="宋体" w:hAnsi="宋体" w:eastAsia="宋体" w:cs="宋体"/>
                <w:b/>
                <w:sz w:val="21"/>
                <w:szCs w:val="21"/>
              </w:rPr>
              <w:t>数量</w:t>
            </w:r>
          </w:p>
        </w:tc>
        <w:tc>
          <w:tcPr>
            <w:tcW w:w="1020" w:type="pct"/>
            <w:vAlign w:val="center"/>
          </w:tcPr>
          <w:p w14:paraId="3D578F9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eastAsia" w:ascii="宋体" w:hAnsi="宋体" w:eastAsia="宋体" w:cs="宋体"/>
                <w:b/>
                <w:sz w:val="21"/>
                <w:szCs w:val="21"/>
              </w:rPr>
            </w:pPr>
            <w:r>
              <w:rPr>
                <w:rFonts w:hint="eastAsia" w:ascii="宋体" w:hAnsi="宋体" w:eastAsia="宋体" w:cs="宋体"/>
                <w:b/>
                <w:sz w:val="21"/>
                <w:szCs w:val="21"/>
              </w:rPr>
              <w:t>最高单价限价（元）</w:t>
            </w:r>
          </w:p>
        </w:tc>
        <w:tc>
          <w:tcPr>
            <w:tcW w:w="732" w:type="pct"/>
            <w:vAlign w:val="center"/>
          </w:tcPr>
          <w:p w14:paraId="3F8C6FF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eastAsia" w:ascii="宋体" w:hAnsi="宋体" w:cs="宋体"/>
                <w:b/>
                <w:sz w:val="21"/>
                <w:szCs w:val="21"/>
                <w:lang w:val="en-US" w:eastAsia="zh-CN"/>
              </w:rPr>
            </w:pPr>
            <w:r>
              <w:rPr>
                <w:rFonts w:hint="eastAsia" w:ascii="宋体" w:hAnsi="宋体" w:cs="宋体"/>
                <w:b/>
                <w:sz w:val="21"/>
                <w:szCs w:val="21"/>
                <w:lang w:val="en-US" w:eastAsia="zh-CN"/>
              </w:rPr>
              <w:t>医疗器械</w:t>
            </w:r>
          </w:p>
          <w:p w14:paraId="486FD6C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default" w:ascii="宋体" w:hAnsi="宋体" w:eastAsia="宋体" w:cs="宋体"/>
                <w:b/>
                <w:sz w:val="21"/>
                <w:szCs w:val="21"/>
                <w:lang w:val="en-US" w:eastAsia="zh-CN"/>
              </w:rPr>
            </w:pPr>
            <w:r>
              <w:rPr>
                <w:rFonts w:hint="eastAsia" w:ascii="宋体" w:hAnsi="宋体" w:cs="宋体"/>
                <w:b/>
                <w:sz w:val="21"/>
                <w:szCs w:val="21"/>
                <w:lang w:val="en-US" w:eastAsia="zh-CN"/>
              </w:rPr>
              <w:t>类别</w:t>
            </w:r>
          </w:p>
        </w:tc>
        <w:tc>
          <w:tcPr>
            <w:tcW w:w="588" w:type="pct"/>
            <w:vAlign w:val="center"/>
          </w:tcPr>
          <w:p w14:paraId="4E9B3C5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eastAsia" w:ascii="宋体" w:hAnsi="宋体" w:eastAsia="宋体" w:cs="宋体"/>
                <w:b/>
                <w:sz w:val="21"/>
                <w:szCs w:val="21"/>
              </w:rPr>
            </w:pPr>
            <w:r>
              <w:rPr>
                <w:rFonts w:hint="eastAsia" w:ascii="宋体" w:hAnsi="宋体" w:eastAsia="宋体" w:cs="宋体"/>
                <w:b/>
                <w:sz w:val="21"/>
                <w:szCs w:val="21"/>
              </w:rPr>
              <w:t>备注</w:t>
            </w:r>
          </w:p>
        </w:tc>
      </w:tr>
      <w:tr w14:paraId="62776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4" w:hRule="exact"/>
          <w:jc w:val="center"/>
        </w:trPr>
        <w:tc>
          <w:tcPr>
            <w:tcW w:w="351" w:type="pct"/>
            <w:vAlign w:val="center"/>
          </w:tcPr>
          <w:p w14:paraId="690A0EE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eastAsia" w:ascii="宋体" w:hAnsi="宋体" w:eastAsia="宋体" w:cs="宋体"/>
                <w:sz w:val="21"/>
                <w:szCs w:val="21"/>
              </w:rPr>
            </w:pPr>
            <w:r>
              <w:rPr>
                <w:rFonts w:hint="eastAsia" w:ascii="宋体" w:hAnsi="宋体" w:eastAsia="宋体" w:cs="宋体"/>
                <w:sz w:val="21"/>
                <w:szCs w:val="21"/>
              </w:rPr>
              <w:t>1</w:t>
            </w:r>
          </w:p>
        </w:tc>
        <w:tc>
          <w:tcPr>
            <w:tcW w:w="1133" w:type="pct"/>
            <w:vAlign w:val="center"/>
          </w:tcPr>
          <w:p w14:paraId="3A5281A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eastAsia" w:ascii="宋体" w:hAnsi="宋体" w:eastAsia="宋体" w:cs="宋体"/>
                <w:sz w:val="21"/>
                <w:szCs w:val="21"/>
              </w:rPr>
            </w:pPr>
            <w:r>
              <w:rPr>
                <w:rFonts w:hint="eastAsia" w:ascii="宋体" w:hAnsi="宋体" w:eastAsia="宋体" w:cs="宋体"/>
                <w:sz w:val="21"/>
                <w:szCs w:val="21"/>
              </w:rPr>
              <w:t>红外光灸疗仪</w:t>
            </w:r>
          </w:p>
        </w:tc>
        <w:tc>
          <w:tcPr>
            <w:tcW w:w="690" w:type="pct"/>
            <w:vAlign w:val="center"/>
          </w:tcPr>
          <w:p w14:paraId="2C80BD8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eastAsia" w:ascii="宋体" w:hAnsi="宋体" w:eastAsia="宋体" w:cs="宋体"/>
                <w:sz w:val="21"/>
                <w:szCs w:val="21"/>
              </w:rPr>
            </w:pPr>
            <w:r>
              <w:rPr>
                <w:rFonts w:hint="eastAsia" w:ascii="宋体" w:hAnsi="宋体" w:eastAsia="宋体" w:cs="宋体"/>
                <w:sz w:val="21"/>
                <w:szCs w:val="21"/>
              </w:rPr>
              <w:t>台</w:t>
            </w:r>
          </w:p>
        </w:tc>
        <w:tc>
          <w:tcPr>
            <w:tcW w:w="483" w:type="pct"/>
            <w:vAlign w:val="center"/>
          </w:tcPr>
          <w:p w14:paraId="043FC20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eastAsia" w:ascii="宋体" w:hAnsi="宋体" w:eastAsia="宋体" w:cs="宋体"/>
                <w:sz w:val="21"/>
                <w:szCs w:val="21"/>
                <w:lang w:eastAsia="zh-CN"/>
              </w:rPr>
            </w:pPr>
            <w:r>
              <w:rPr>
                <w:rFonts w:hint="eastAsia" w:ascii="宋体" w:hAnsi="宋体" w:cs="宋体"/>
                <w:sz w:val="21"/>
                <w:szCs w:val="21"/>
                <w:lang w:val="en-US" w:eastAsia="zh-CN"/>
              </w:rPr>
              <w:t>3</w:t>
            </w:r>
          </w:p>
        </w:tc>
        <w:tc>
          <w:tcPr>
            <w:tcW w:w="1020" w:type="pct"/>
            <w:vAlign w:val="center"/>
          </w:tcPr>
          <w:p w14:paraId="56AD522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eastAsia" w:ascii="宋体" w:hAnsi="宋体" w:eastAsia="宋体" w:cs="宋体"/>
                <w:iCs/>
                <w:sz w:val="21"/>
                <w:szCs w:val="21"/>
                <w:lang w:eastAsia="zh-CN"/>
              </w:rPr>
            </w:pPr>
            <w:r>
              <w:rPr>
                <w:rFonts w:hint="eastAsia" w:ascii="宋体" w:hAnsi="宋体" w:cs="宋体"/>
                <w:sz w:val="21"/>
                <w:szCs w:val="21"/>
                <w:lang w:val="en-US" w:eastAsia="zh-CN"/>
              </w:rPr>
              <w:t>66</w:t>
            </w:r>
            <w:r>
              <w:rPr>
                <w:rFonts w:hint="eastAsia" w:ascii="宋体" w:hAnsi="宋体" w:eastAsia="宋体" w:cs="宋体"/>
                <w:sz w:val="21"/>
                <w:szCs w:val="21"/>
                <w:lang w:eastAsia="zh-CN"/>
              </w:rPr>
              <w:t>000.00</w:t>
            </w:r>
          </w:p>
        </w:tc>
        <w:tc>
          <w:tcPr>
            <w:tcW w:w="732" w:type="pct"/>
            <w:vAlign w:val="center"/>
          </w:tcPr>
          <w:p w14:paraId="79BFD81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default" w:ascii="宋体" w:hAnsi="宋体" w:eastAsia="宋体" w:cs="宋体"/>
                <w:sz w:val="21"/>
                <w:szCs w:val="21"/>
                <w:lang w:val="en-US" w:eastAsia="zh-CN"/>
              </w:rPr>
            </w:pPr>
            <w:r>
              <w:rPr>
                <w:rFonts w:hint="eastAsia" w:ascii="宋体" w:hAnsi="宋体" w:cs="宋体"/>
                <w:sz w:val="21"/>
                <w:szCs w:val="21"/>
                <w:lang w:val="en-US" w:eastAsia="zh-CN"/>
              </w:rPr>
              <w:t>二类</w:t>
            </w:r>
          </w:p>
        </w:tc>
        <w:tc>
          <w:tcPr>
            <w:tcW w:w="588" w:type="pct"/>
            <w:vAlign w:val="center"/>
          </w:tcPr>
          <w:p w14:paraId="5ED8CD3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eastAsia" w:ascii="宋体" w:hAnsi="宋体" w:eastAsia="宋体" w:cs="宋体"/>
                <w:sz w:val="21"/>
                <w:szCs w:val="21"/>
                <w:lang w:val="en-US" w:eastAsia="zh-CN"/>
              </w:rPr>
            </w:pPr>
          </w:p>
        </w:tc>
      </w:tr>
    </w:tbl>
    <w:p w14:paraId="61A9B7C3">
      <w:pPr>
        <w:keepNext w:val="0"/>
        <w:keepLines w:val="0"/>
        <w:pageBreakBefore w:val="0"/>
        <w:kinsoku/>
        <w:wordWrap/>
        <w:overflowPunct/>
        <w:topLinePunct w:val="0"/>
        <w:autoSpaceDE/>
        <w:autoSpaceDN/>
        <w:bidi w:val="0"/>
        <w:adjustRightInd/>
        <w:snapToGrid/>
        <w:spacing w:line="400" w:lineRule="exact"/>
        <w:ind w:firstLine="422" w:firstLineChars="200"/>
        <w:rPr>
          <w:rFonts w:hint="eastAsia" w:ascii="宋体" w:hAnsi="宋体" w:eastAsia="宋体" w:cs="宋体"/>
          <w:b/>
          <w:bCs/>
          <w:sz w:val="21"/>
          <w:szCs w:val="21"/>
        </w:rPr>
      </w:pPr>
      <w:r>
        <w:rPr>
          <w:rFonts w:hint="eastAsia" w:ascii="宋体" w:hAnsi="宋体" w:eastAsia="宋体" w:cs="宋体"/>
          <w:b/>
          <w:bCs/>
          <w:sz w:val="21"/>
          <w:szCs w:val="21"/>
          <w:lang w:val="en-US" w:eastAsia="zh-CN"/>
        </w:rPr>
        <w:t>三</w:t>
      </w:r>
      <w:r>
        <w:rPr>
          <w:rFonts w:hint="eastAsia" w:ascii="宋体" w:hAnsi="宋体" w:eastAsia="宋体" w:cs="宋体"/>
          <w:b/>
          <w:bCs/>
          <w:sz w:val="21"/>
          <w:szCs w:val="21"/>
        </w:rPr>
        <w:t>、技术</w:t>
      </w:r>
      <w:r>
        <w:rPr>
          <w:rFonts w:hint="eastAsia" w:ascii="宋体" w:hAnsi="宋体" w:eastAsia="宋体" w:cs="宋体"/>
          <w:b/>
          <w:bCs/>
          <w:sz w:val="21"/>
          <w:szCs w:val="21"/>
          <w:lang w:val="en-US" w:eastAsia="zh-CN"/>
        </w:rPr>
        <w:t>参数</w:t>
      </w:r>
      <w:r>
        <w:rPr>
          <w:rFonts w:hint="eastAsia" w:ascii="宋体" w:hAnsi="宋体" w:eastAsia="宋体" w:cs="宋体"/>
          <w:b/>
          <w:bCs/>
          <w:sz w:val="21"/>
          <w:szCs w:val="21"/>
        </w:rPr>
        <w:t>要求</w:t>
      </w:r>
    </w:p>
    <w:p w14:paraId="0F15E30F">
      <w:pPr>
        <w:keepNext w:val="0"/>
        <w:keepLines w:val="0"/>
        <w:pageBreakBefore w:val="0"/>
        <w:widowControl/>
        <w:kinsoku/>
        <w:wordWrap/>
        <w:overflowPunct/>
        <w:topLinePunct w:val="0"/>
        <w:autoSpaceDE/>
        <w:autoSpaceDN/>
        <w:bidi w:val="0"/>
        <w:adjustRightInd/>
        <w:snapToGrid/>
        <w:spacing w:line="400" w:lineRule="exact"/>
        <w:rPr>
          <w:rFonts w:hint="eastAsia" w:ascii="宋体" w:hAnsi="宋体" w:eastAsia="宋体" w:cs="宋体"/>
          <w:b w:val="0"/>
          <w:bCs w:val="0"/>
          <w:kern w:val="0"/>
          <w:sz w:val="21"/>
          <w:szCs w:val="21"/>
        </w:rPr>
      </w:pPr>
      <w:r>
        <w:rPr>
          <w:rFonts w:hint="eastAsia" w:ascii="宋体" w:hAnsi="宋体" w:eastAsia="宋体" w:cs="宋体"/>
          <w:b w:val="0"/>
          <w:bCs w:val="0"/>
          <w:kern w:val="0"/>
          <w:sz w:val="21"/>
          <w:szCs w:val="21"/>
        </w:rPr>
        <w:t>1.投标时要求提供投标产品注册检验报告、技术参数表（datasheet）及产品彩页。</w:t>
      </w:r>
    </w:p>
    <w:p w14:paraId="6B844429">
      <w:pPr>
        <w:keepNext w:val="0"/>
        <w:keepLines w:val="0"/>
        <w:pageBreakBefore w:val="0"/>
        <w:widowControl/>
        <w:kinsoku/>
        <w:wordWrap/>
        <w:overflowPunct/>
        <w:topLinePunct w:val="0"/>
        <w:autoSpaceDE/>
        <w:autoSpaceDN/>
        <w:bidi w:val="0"/>
        <w:adjustRightInd/>
        <w:snapToGrid/>
        <w:spacing w:line="400" w:lineRule="exact"/>
        <w:rPr>
          <w:rFonts w:hint="eastAsia" w:ascii="宋体" w:hAnsi="宋体" w:eastAsia="宋体" w:cs="宋体"/>
          <w:b w:val="0"/>
          <w:bCs w:val="0"/>
          <w:kern w:val="0"/>
          <w:sz w:val="21"/>
          <w:szCs w:val="21"/>
        </w:rPr>
      </w:pPr>
      <w:r>
        <w:rPr>
          <w:rFonts w:hint="eastAsia" w:ascii="宋体" w:hAnsi="宋体" w:eastAsia="宋体" w:cs="宋体"/>
          <w:b w:val="0"/>
          <w:bCs w:val="0"/>
          <w:kern w:val="0"/>
          <w:sz w:val="21"/>
          <w:szCs w:val="21"/>
        </w:rPr>
        <w:t>2.适用范围：</w:t>
      </w:r>
    </w:p>
    <w:p w14:paraId="797A8158">
      <w:pPr>
        <w:keepNext w:val="0"/>
        <w:keepLines w:val="0"/>
        <w:pageBreakBefore w:val="0"/>
        <w:widowControl/>
        <w:kinsoku/>
        <w:wordWrap/>
        <w:overflowPunct/>
        <w:topLinePunct w:val="0"/>
        <w:autoSpaceDE/>
        <w:autoSpaceDN/>
        <w:bidi w:val="0"/>
        <w:adjustRightInd/>
        <w:snapToGrid/>
        <w:spacing w:line="400" w:lineRule="exact"/>
        <w:rPr>
          <w:rFonts w:hint="eastAsia" w:ascii="宋体" w:hAnsi="宋体" w:cs="宋体"/>
          <w:b w:val="0"/>
          <w:bCs w:val="0"/>
          <w:kern w:val="0"/>
          <w:sz w:val="21"/>
          <w:szCs w:val="21"/>
          <w:lang w:eastAsia="zh-CN"/>
        </w:rPr>
      </w:pPr>
      <w:r>
        <w:rPr>
          <w:rFonts w:hint="eastAsia" w:ascii="宋体" w:hAnsi="宋体" w:cs="宋体"/>
          <w:b w:val="0"/>
          <w:bCs w:val="0"/>
          <w:kern w:val="0"/>
          <w:sz w:val="21"/>
          <w:szCs w:val="21"/>
          <w:lang w:eastAsia="zh-CN"/>
        </w:rPr>
        <w:t>中医辨证：湿寒、阳虚、气滞血瘀类问题，温经散寒、通络止痛；</w:t>
      </w:r>
    </w:p>
    <w:p w14:paraId="44AE4D8F">
      <w:pPr>
        <w:keepNext w:val="0"/>
        <w:keepLines w:val="0"/>
        <w:pageBreakBefore w:val="0"/>
        <w:widowControl/>
        <w:kinsoku/>
        <w:wordWrap/>
        <w:overflowPunct/>
        <w:topLinePunct w:val="0"/>
        <w:autoSpaceDE/>
        <w:autoSpaceDN/>
        <w:bidi w:val="0"/>
        <w:adjustRightInd/>
        <w:snapToGrid/>
        <w:spacing w:line="400" w:lineRule="exact"/>
        <w:rPr>
          <w:rFonts w:hint="eastAsia" w:ascii="宋体" w:hAnsi="宋体" w:cs="宋体"/>
          <w:b w:val="0"/>
          <w:bCs w:val="0"/>
          <w:kern w:val="0"/>
          <w:sz w:val="21"/>
          <w:szCs w:val="21"/>
          <w:lang w:eastAsia="zh-CN"/>
        </w:rPr>
      </w:pPr>
      <w:r>
        <w:rPr>
          <w:rFonts w:hint="eastAsia" w:ascii="宋体" w:hAnsi="宋体" w:cs="宋体"/>
          <w:b w:val="0"/>
          <w:bCs w:val="0"/>
          <w:kern w:val="0"/>
          <w:sz w:val="21"/>
          <w:szCs w:val="21"/>
          <w:lang w:eastAsia="zh-CN"/>
        </w:rPr>
        <w:t>内科虚寒：慢性虚寒型胃痛、慢性腹泻、畏寒怕冷、手脚冰凉、疲劳乏力、睡眠差等；</w:t>
      </w:r>
    </w:p>
    <w:p w14:paraId="13B4CEC7">
      <w:pPr>
        <w:keepNext w:val="0"/>
        <w:keepLines w:val="0"/>
        <w:pageBreakBefore w:val="0"/>
        <w:widowControl/>
        <w:kinsoku/>
        <w:wordWrap/>
        <w:overflowPunct/>
        <w:topLinePunct w:val="0"/>
        <w:autoSpaceDE/>
        <w:autoSpaceDN/>
        <w:bidi w:val="0"/>
        <w:adjustRightInd/>
        <w:snapToGrid/>
        <w:spacing w:line="400" w:lineRule="exact"/>
        <w:rPr>
          <w:rFonts w:hint="eastAsia" w:ascii="宋体" w:hAnsi="宋体" w:cs="宋体"/>
          <w:b w:val="0"/>
          <w:bCs w:val="0"/>
          <w:kern w:val="0"/>
          <w:sz w:val="21"/>
          <w:szCs w:val="21"/>
          <w:lang w:eastAsia="zh-CN"/>
        </w:rPr>
      </w:pPr>
      <w:r>
        <w:rPr>
          <w:rFonts w:hint="eastAsia" w:ascii="宋体" w:hAnsi="宋体" w:cs="宋体"/>
          <w:b w:val="0"/>
          <w:bCs w:val="0"/>
          <w:kern w:val="0"/>
          <w:sz w:val="21"/>
          <w:szCs w:val="21"/>
          <w:lang w:eastAsia="zh-CN"/>
        </w:rPr>
        <w:t>骨关节、软组织疼痛：颈椎病、肩周炎、膝骨性关节炎、腰肌劳损、慢性软组织损伤、腰椎间盘突出症；</w:t>
      </w:r>
    </w:p>
    <w:p w14:paraId="7AEA3975">
      <w:pPr>
        <w:keepNext w:val="0"/>
        <w:keepLines w:val="0"/>
        <w:pageBreakBefore w:val="0"/>
        <w:widowControl/>
        <w:kinsoku/>
        <w:wordWrap/>
        <w:overflowPunct/>
        <w:topLinePunct w:val="0"/>
        <w:autoSpaceDE/>
        <w:autoSpaceDN/>
        <w:bidi w:val="0"/>
        <w:adjustRightInd/>
        <w:snapToGrid/>
        <w:spacing w:line="400" w:lineRule="exact"/>
        <w:rPr>
          <w:rFonts w:hint="eastAsia" w:ascii="宋体" w:hAnsi="宋体" w:cs="宋体"/>
          <w:b w:val="0"/>
          <w:bCs w:val="0"/>
          <w:kern w:val="0"/>
          <w:sz w:val="21"/>
          <w:szCs w:val="21"/>
          <w:lang w:eastAsia="zh-CN"/>
        </w:rPr>
      </w:pPr>
      <w:r>
        <w:rPr>
          <w:rFonts w:hint="eastAsia" w:ascii="宋体" w:hAnsi="宋体" w:cs="宋体"/>
          <w:b w:val="0"/>
          <w:bCs w:val="0"/>
          <w:kern w:val="0"/>
          <w:sz w:val="21"/>
          <w:szCs w:val="21"/>
          <w:lang w:eastAsia="zh-CN"/>
        </w:rPr>
        <w:t>中风后肢体僵硬、肌张力偏高、肢体循环差的康复理疗；</w:t>
      </w:r>
    </w:p>
    <w:p w14:paraId="14465AE4">
      <w:pPr>
        <w:keepNext w:val="0"/>
        <w:keepLines w:val="0"/>
        <w:pageBreakBefore w:val="0"/>
        <w:widowControl/>
        <w:kinsoku/>
        <w:wordWrap/>
        <w:overflowPunct/>
        <w:topLinePunct w:val="0"/>
        <w:autoSpaceDE/>
        <w:autoSpaceDN/>
        <w:bidi w:val="0"/>
        <w:adjustRightInd/>
        <w:snapToGrid/>
        <w:spacing w:line="400" w:lineRule="exact"/>
        <w:rPr>
          <w:rFonts w:hint="eastAsia" w:ascii="宋体" w:hAnsi="宋体" w:cs="宋体"/>
          <w:b w:val="0"/>
          <w:bCs w:val="0"/>
          <w:kern w:val="0"/>
          <w:sz w:val="21"/>
          <w:szCs w:val="21"/>
          <w:lang w:eastAsia="zh-CN"/>
        </w:rPr>
      </w:pPr>
      <w:r>
        <w:rPr>
          <w:rFonts w:hint="eastAsia" w:ascii="宋体" w:hAnsi="宋体" w:cs="宋体"/>
          <w:b w:val="0"/>
          <w:bCs w:val="0"/>
          <w:kern w:val="0"/>
          <w:sz w:val="21"/>
          <w:szCs w:val="21"/>
          <w:lang w:eastAsia="zh-CN"/>
        </w:rPr>
        <w:t>妇科：盆腔炎辅助消炎；寒湿型宫寒、痛经（辅助温通）；</w:t>
      </w:r>
    </w:p>
    <w:p w14:paraId="5FB04CC7">
      <w:pPr>
        <w:keepNext w:val="0"/>
        <w:keepLines w:val="0"/>
        <w:pageBreakBefore w:val="0"/>
        <w:widowControl/>
        <w:kinsoku/>
        <w:wordWrap/>
        <w:overflowPunct/>
        <w:topLinePunct w:val="0"/>
        <w:autoSpaceDE/>
        <w:autoSpaceDN/>
        <w:bidi w:val="0"/>
        <w:adjustRightInd/>
        <w:snapToGrid/>
        <w:spacing w:line="400" w:lineRule="exact"/>
        <w:rPr>
          <w:rFonts w:hint="eastAsia" w:ascii="宋体" w:hAnsi="宋体" w:cs="宋体"/>
          <w:b w:val="0"/>
          <w:bCs w:val="0"/>
          <w:kern w:val="0"/>
          <w:sz w:val="21"/>
          <w:szCs w:val="21"/>
          <w:lang w:eastAsia="zh-CN"/>
        </w:rPr>
      </w:pPr>
      <w:r>
        <w:rPr>
          <w:rFonts w:hint="eastAsia" w:ascii="宋体" w:hAnsi="宋体" w:cs="宋体"/>
          <w:b w:val="0"/>
          <w:bCs w:val="0"/>
          <w:kern w:val="0"/>
          <w:sz w:val="21"/>
          <w:szCs w:val="21"/>
          <w:lang w:eastAsia="zh-CN"/>
        </w:rPr>
        <w:t>创面康复：慢性溃疡、褥疮、术后切口愈合后期；</w:t>
      </w:r>
      <w:bookmarkStart w:id="2" w:name="_GoBack"/>
      <w:bookmarkEnd w:id="2"/>
    </w:p>
    <w:p w14:paraId="47130A7F">
      <w:pPr>
        <w:keepNext w:val="0"/>
        <w:keepLines w:val="0"/>
        <w:pageBreakBefore w:val="0"/>
        <w:widowControl/>
        <w:kinsoku/>
        <w:wordWrap/>
        <w:overflowPunct/>
        <w:topLinePunct w:val="0"/>
        <w:autoSpaceDE/>
        <w:autoSpaceDN/>
        <w:bidi w:val="0"/>
        <w:adjustRightInd/>
        <w:snapToGrid/>
        <w:spacing w:line="400" w:lineRule="exact"/>
        <w:rPr>
          <w:rFonts w:hint="eastAsia" w:ascii="宋体" w:hAnsi="宋体" w:eastAsia="宋体" w:cs="宋体"/>
          <w:b w:val="0"/>
          <w:bCs w:val="0"/>
          <w:kern w:val="0"/>
          <w:sz w:val="21"/>
          <w:szCs w:val="21"/>
        </w:rPr>
      </w:pPr>
      <w:r>
        <w:rPr>
          <w:rFonts w:hint="eastAsia" w:ascii="宋体" w:hAnsi="宋体" w:eastAsia="宋体" w:cs="宋体"/>
          <w:b w:val="0"/>
          <w:bCs w:val="0"/>
          <w:kern w:val="0"/>
          <w:sz w:val="21"/>
          <w:szCs w:val="21"/>
        </w:rPr>
        <w:t>3.支架高度调节范围：460～1400mm，允差±30mm。</w:t>
      </w:r>
    </w:p>
    <w:p w14:paraId="4A8BEB78">
      <w:pPr>
        <w:keepNext w:val="0"/>
        <w:keepLines w:val="0"/>
        <w:pageBreakBefore w:val="0"/>
        <w:widowControl/>
        <w:kinsoku/>
        <w:wordWrap/>
        <w:overflowPunct/>
        <w:topLinePunct w:val="0"/>
        <w:autoSpaceDE/>
        <w:autoSpaceDN/>
        <w:bidi w:val="0"/>
        <w:adjustRightInd/>
        <w:snapToGrid/>
        <w:spacing w:line="400" w:lineRule="exact"/>
        <w:rPr>
          <w:rFonts w:hint="eastAsia" w:ascii="宋体" w:hAnsi="宋体" w:eastAsia="宋体" w:cs="宋体"/>
          <w:b w:val="0"/>
          <w:bCs w:val="0"/>
          <w:kern w:val="0"/>
          <w:sz w:val="21"/>
          <w:szCs w:val="21"/>
        </w:rPr>
      </w:pPr>
      <w:r>
        <w:rPr>
          <w:rFonts w:hint="eastAsia" w:ascii="宋体" w:hAnsi="宋体" w:eastAsia="宋体" w:cs="宋体"/>
          <w:b w:val="0"/>
          <w:bCs w:val="0"/>
          <w:kern w:val="0"/>
          <w:sz w:val="21"/>
          <w:szCs w:val="21"/>
        </w:rPr>
        <w:t>▲4.输出通道：双通道。</w:t>
      </w:r>
    </w:p>
    <w:p w14:paraId="01D58563">
      <w:pPr>
        <w:keepNext w:val="0"/>
        <w:keepLines w:val="0"/>
        <w:pageBreakBefore w:val="0"/>
        <w:widowControl/>
        <w:kinsoku/>
        <w:wordWrap/>
        <w:overflowPunct/>
        <w:topLinePunct w:val="0"/>
        <w:autoSpaceDE/>
        <w:autoSpaceDN/>
        <w:bidi w:val="0"/>
        <w:adjustRightInd/>
        <w:snapToGrid/>
        <w:spacing w:line="400" w:lineRule="exact"/>
        <w:rPr>
          <w:rFonts w:hint="eastAsia" w:ascii="宋体" w:hAnsi="宋体" w:eastAsia="宋体" w:cs="宋体"/>
          <w:b w:val="0"/>
          <w:bCs w:val="0"/>
          <w:kern w:val="0"/>
          <w:sz w:val="21"/>
          <w:szCs w:val="21"/>
        </w:rPr>
      </w:pPr>
      <w:r>
        <w:rPr>
          <w:rFonts w:hint="eastAsia" w:ascii="宋体" w:hAnsi="宋体" w:eastAsia="宋体" w:cs="宋体"/>
          <w:b w:val="0"/>
          <w:bCs w:val="0"/>
          <w:kern w:val="0"/>
          <w:sz w:val="21"/>
          <w:szCs w:val="21"/>
        </w:rPr>
        <w:t>▲5.治疗头：支持三维旋转方向。具有磁吸装置，确保在不同位置下盖子不掉落。</w:t>
      </w:r>
    </w:p>
    <w:p w14:paraId="008EEFC1">
      <w:pPr>
        <w:keepNext w:val="0"/>
        <w:keepLines w:val="0"/>
        <w:pageBreakBefore w:val="0"/>
        <w:widowControl/>
        <w:kinsoku/>
        <w:wordWrap/>
        <w:overflowPunct/>
        <w:topLinePunct w:val="0"/>
        <w:autoSpaceDE/>
        <w:autoSpaceDN/>
        <w:bidi w:val="0"/>
        <w:adjustRightInd/>
        <w:snapToGrid/>
        <w:spacing w:line="400" w:lineRule="exact"/>
        <w:rPr>
          <w:rFonts w:hint="eastAsia" w:ascii="宋体" w:hAnsi="宋体" w:eastAsia="宋体" w:cs="宋体"/>
          <w:b w:val="0"/>
          <w:bCs w:val="0"/>
          <w:kern w:val="0"/>
          <w:sz w:val="21"/>
          <w:szCs w:val="21"/>
        </w:rPr>
      </w:pPr>
      <w:r>
        <w:rPr>
          <w:rFonts w:hint="eastAsia" w:ascii="宋体" w:hAnsi="宋体" w:eastAsia="宋体" w:cs="宋体"/>
          <w:b w:val="0"/>
          <w:bCs w:val="0"/>
          <w:kern w:val="0"/>
          <w:sz w:val="21"/>
          <w:szCs w:val="21"/>
        </w:rPr>
        <w:t>6.具有艾灸能量裙，使艾灸集中于病灶，又避免暴露隐私。</w:t>
      </w:r>
    </w:p>
    <w:p w14:paraId="6833C30C">
      <w:pPr>
        <w:keepNext w:val="0"/>
        <w:keepLines w:val="0"/>
        <w:pageBreakBefore w:val="0"/>
        <w:widowControl/>
        <w:kinsoku/>
        <w:wordWrap/>
        <w:overflowPunct/>
        <w:topLinePunct w:val="0"/>
        <w:autoSpaceDE/>
        <w:autoSpaceDN/>
        <w:bidi w:val="0"/>
        <w:adjustRightInd/>
        <w:snapToGrid/>
        <w:spacing w:line="400" w:lineRule="exact"/>
        <w:rPr>
          <w:rFonts w:hint="eastAsia" w:ascii="宋体" w:hAnsi="宋体" w:eastAsia="宋体" w:cs="宋体"/>
          <w:b w:val="0"/>
          <w:bCs w:val="0"/>
          <w:kern w:val="0"/>
          <w:sz w:val="21"/>
          <w:szCs w:val="21"/>
        </w:rPr>
      </w:pPr>
      <w:r>
        <w:rPr>
          <w:rFonts w:hint="eastAsia" w:ascii="宋体" w:hAnsi="宋体" w:eastAsia="宋体" w:cs="宋体"/>
          <w:b w:val="0"/>
          <w:bCs w:val="0"/>
          <w:kern w:val="0"/>
          <w:sz w:val="21"/>
          <w:szCs w:val="21"/>
        </w:rPr>
        <w:t>7.红外光波长范围：580nm～1050nm</w:t>
      </w:r>
      <w:r>
        <w:rPr>
          <w:rFonts w:hint="eastAsia" w:ascii="宋体" w:hAnsi="宋体" w:cs="宋体"/>
          <w:b w:val="0"/>
          <w:bCs w:val="0"/>
          <w:kern w:val="0"/>
          <w:sz w:val="21"/>
          <w:szCs w:val="21"/>
          <w:lang w:eastAsia="zh-CN"/>
        </w:rPr>
        <w:t>，允差±50nm</w:t>
      </w:r>
      <w:r>
        <w:rPr>
          <w:rFonts w:hint="eastAsia" w:ascii="宋体" w:hAnsi="宋体" w:eastAsia="宋体" w:cs="宋体"/>
          <w:b w:val="0"/>
          <w:bCs w:val="0"/>
          <w:kern w:val="0"/>
          <w:sz w:val="21"/>
          <w:szCs w:val="21"/>
        </w:rPr>
        <w:t>。</w:t>
      </w:r>
    </w:p>
    <w:p w14:paraId="2CCC3372">
      <w:pPr>
        <w:keepNext w:val="0"/>
        <w:keepLines w:val="0"/>
        <w:pageBreakBefore w:val="0"/>
        <w:widowControl/>
        <w:kinsoku/>
        <w:wordWrap/>
        <w:overflowPunct/>
        <w:topLinePunct w:val="0"/>
        <w:autoSpaceDE/>
        <w:autoSpaceDN/>
        <w:bidi w:val="0"/>
        <w:adjustRightInd/>
        <w:snapToGrid/>
        <w:spacing w:line="400" w:lineRule="exact"/>
        <w:rPr>
          <w:rFonts w:hint="eastAsia" w:ascii="宋体" w:hAnsi="宋体" w:eastAsia="宋体" w:cs="宋体"/>
          <w:b w:val="0"/>
          <w:bCs w:val="0"/>
          <w:kern w:val="0"/>
          <w:sz w:val="21"/>
          <w:szCs w:val="21"/>
        </w:rPr>
      </w:pPr>
      <w:r>
        <w:rPr>
          <w:rFonts w:hint="eastAsia" w:ascii="宋体" w:hAnsi="宋体" w:eastAsia="宋体" w:cs="宋体"/>
          <w:b w:val="0"/>
          <w:bCs w:val="0"/>
          <w:kern w:val="0"/>
          <w:sz w:val="21"/>
          <w:szCs w:val="21"/>
        </w:rPr>
        <w:t>8.输出光功率：≥10W。</w:t>
      </w:r>
    </w:p>
    <w:p w14:paraId="5942F3B6">
      <w:pPr>
        <w:keepNext w:val="0"/>
        <w:keepLines w:val="0"/>
        <w:pageBreakBefore w:val="0"/>
        <w:widowControl/>
        <w:kinsoku/>
        <w:wordWrap/>
        <w:overflowPunct/>
        <w:topLinePunct w:val="0"/>
        <w:autoSpaceDE/>
        <w:autoSpaceDN/>
        <w:bidi w:val="0"/>
        <w:adjustRightInd/>
        <w:snapToGrid/>
        <w:spacing w:line="400" w:lineRule="exact"/>
        <w:rPr>
          <w:rFonts w:hint="eastAsia" w:ascii="宋体" w:hAnsi="宋体" w:eastAsia="宋体" w:cs="宋体"/>
          <w:b w:val="0"/>
          <w:bCs w:val="0"/>
          <w:kern w:val="0"/>
          <w:sz w:val="21"/>
          <w:szCs w:val="21"/>
        </w:rPr>
      </w:pPr>
      <w:r>
        <w:rPr>
          <w:rFonts w:hint="eastAsia" w:ascii="宋体" w:hAnsi="宋体" w:eastAsia="宋体" w:cs="宋体"/>
          <w:b w:val="0"/>
          <w:bCs w:val="0"/>
          <w:kern w:val="0"/>
          <w:sz w:val="21"/>
          <w:szCs w:val="21"/>
        </w:rPr>
        <w:t>9.光疗档位：</w:t>
      </w:r>
      <w:r>
        <w:rPr>
          <w:rFonts w:hint="eastAsia" w:ascii="宋体" w:hAnsi="宋体" w:cs="宋体"/>
          <w:b w:val="0"/>
          <w:bCs w:val="0"/>
          <w:kern w:val="0"/>
          <w:sz w:val="21"/>
          <w:szCs w:val="21"/>
          <w:lang w:val="en-US" w:eastAsia="zh-CN"/>
        </w:rPr>
        <w:t>至少</w:t>
      </w:r>
      <w:r>
        <w:rPr>
          <w:rFonts w:hint="eastAsia" w:ascii="宋体" w:hAnsi="宋体" w:eastAsia="宋体" w:cs="宋体"/>
          <w:b w:val="0"/>
          <w:bCs w:val="0"/>
          <w:kern w:val="0"/>
          <w:sz w:val="21"/>
          <w:szCs w:val="21"/>
        </w:rPr>
        <w:t>1～3 档可调。</w:t>
      </w:r>
    </w:p>
    <w:p w14:paraId="747B7E7F">
      <w:pPr>
        <w:keepNext w:val="0"/>
        <w:keepLines w:val="0"/>
        <w:pageBreakBefore w:val="0"/>
        <w:widowControl/>
        <w:kinsoku/>
        <w:wordWrap/>
        <w:overflowPunct/>
        <w:topLinePunct w:val="0"/>
        <w:autoSpaceDE/>
        <w:autoSpaceDN/>
        <w:bidi w:val="0"/>
        <w:adjustRightInd/>
        <w:snapToGrid/>
        <w:spacing w:line="400" w:lineRule="exact"/>
        <w:rPr>
          <w:rFonts w:hint="eastAsia" w:ascii="宋体" w:hAnsi="宋体" w:eastAsia="宋体" w:cs="宋体"/>
          <w:b w:val="0"/>
          <w:bCs w:val="0"/>
          <w:kern w:val="0"/>
          <w:sz w:val="21"/>
          <w:szCs w:val="21"/>
        </w:rPr>
      </w:pPr>
      <w:r>
        <w:rPr>
          <w:rFonts w:hint="eastAsia" w:ascii="宋体" w:hAnsi="宋体" w:eastAsia="宋体" w:cs="宋体"/>
          <w:b w:val="0"/>
          <w:bCs w:val="0"/>
          <w:kern w:val="0"/>
          <w:sz w:val="21"/>
          <w:szCs w:val="21"/>
        </w:rPr>
        <w:t>10.光疗频率：</w:t>
      </w:r>
      <w:r>
        <w:rPr>
          <w:rFonts w:hint="eastAsia" w:ascii="宋体" w:hAnsi="宋体" w:cs="宋体"/>
          <w:b w:val="0"/>
          <w:bCs w:val="0"/>
          <w:kern w:val="0"/>
          <w:sz w:val="21"/>
          <w:szCs w:val="21"/>
          <w:lang w:eastAsia="zh-CN"/>
        </w:rPr>
        <w:t>（</w:t>
      </w:r>
      <w:r>
        <w:rPr>
          <w:rFonts w:hint="eastAsia" w:ascii="宋体" w:hAnsi="宋体" w:cs="宋体"/>
          <w:b w:val="0"/>
          <w:bCs w:val="0"/>
          <w:kern w:val="0"/>
          <w:sz w:val="21"/>
          <w:szCs w:val="21"/>
          <w:lang w:val="en-US" w:eastAsia="zh-CN"/>
        </w:rPr>
        <w:t>包括但不限于</w:t>
      </w:r>
      <w:r>
        <w:rPr>
          <w:rFonts w:hint="eastAsia" w:ascii="宋体" w:hAnsi="宋体" w:cs="宋体"/>
          <w:b w:val="0"/>
          <w:bCs w:val="0"/>
          <w:kern w:val="0"/>
          <w:sz w:val="21"/>
          <w:szCs w:val="21"/>
          <w:lang w:eastAsia="zh-CN"/>
        </w:rPr>
        <w:t>）</w:t>
      </w:r>
      <w:r>
        <w:rPr>
          <w:rFonts w:hint="eastAsia" w:ascii="宋体" w:hAnsi="宋体" w:eastAsia="宋体" w:cs="宋体"/>
          <w:b w:val="0"/>
          <w:bCs w:val="0"/>
          <w:kern w:val="0"/>
          <w:sz w:val="21"/>
          <w:szCs w:val="21"/>
        </w:rPr>
        <w:t xml:space="preserve">on、60Hz、50Hz、25Hz、10Hz、5Hz </w:t>
      </w:r>
      <w:r>
        <w:rPr>
          <w:rFonts w:hint="eastAsia" w:ascii="宋体" w:hAnsi="宋体" w:cs="宋体"/>
          <w:b w:val="0"/>
          <w:bCs w:val="0"/>
          <w:kern w:val="0"/>
          <w:sz w:val="21"/>
          <w:szCs w:val="21"/>
          <w:lang w:val="en-US" w:eastAsia="zh-CN"/>
        </w:rPr>
        <w:t>等多</w:t>
      </w:r>
      <w:r>
        <w:rPr>
          <w:rFonts w:hint="eastAsia" w:ascii="宋体" w:hAnsi="宋体" w:eastAsia="宋体" w:cs="宋体"/>
          <w:b w:val="0"/>
          <w:bCs w:val="0"/>
          <w:kern w:val="0"/>
          <w:sz w:val="21"/>
          <w:szCs w:val="21"/>
        </w:rPr>
        <w:t>档可调。</w:t>
      </w:r>
    </w:p>
    <w:p w14:paraId="7625DCA2">
      <w:pPr>
        <w:keepNext w:val="0"/>
        <w:keepLines w:val="0"/>
        <w:pageBreakBefore w:val="0"/>
        <w:widowControl/>
        <w:kinsoku/>
        <w:wordWrap/>
        <w:overflowPunct/>
        <w:topLinePunct w:val="0"/>
        <w:autoSpaceDE/>
        <w:autoSpaceDN/>
        <w:bidi w:val="0"/>
        <w:adjustRightInd/>
        <w:snapToGrid/>
        <w:spacing w:line="400" w:lineRule="exact"/>
        <w:rPr>
          <w:rFonts w:hint="eastAsia" w:ascii="宋体" w:hAnsi="宋体" w:eastAsia="宋体" w:cs="宋体"/>
          <w:b w:val="0"/>
          <w:bCs w:val="0"/>
          <w:kern w:val="0"/>
          <w:sz w:val="21"/>
          <w:szCs w:val="21"/>
        </w:rPr>
      </w:pPr>
      <w:r>
        <w:rPr>
          <w:rFonts w:hint="eastAsia" w:ascii="宋体" w:hAnsi="宋体" w:eastAsia="宋体" w:cs="宋体"/>
          <w:b w:val="0"/>
          <w:bCs w:val="0"/>
          <w:kern w:val="0"/>
          <w:sz w:val="21"/>
          <w:szCs w:val="21"/>
        </w:rPr>
        <w:t>11.艾灸加热调节温度需包含 100℃～150℃，允差±10℃，级差 10℃。</w:t>
      </w:r>
    </w:p>
    <w:p w14:paraId="7633D02E">
      <w:pPr>
        <w:keepNext w:val="0"/>
        <w:keepLines w:val="0"/>
        <w:pageBreakBefore w:val="0"/>
        <w:widowControl/>
        <w:kinsoku/>
        <w:wordWrap/>
        <w:overflowPunct/>
        <w:topLinePunct w:val="0"/>
        <w:autoSpaceDE/>
        <w:autoSpaceDN/>
        <w:bidi w:val="0"/>
        <w:adjustRightInd/>
        <w:snapToGrid/>
        <w:spacing w:line="400" w:lineRule="exact"/>
        <w:rPr>
          <w:rFonts w:hint="eastAsia" w:ascii="宋体" w:hAnsi="宋体" w:eastAsia="宋体" w:cs="宋体"/>
          <w:b w:val="0"/>
          <w:bCs w:val="0"/>
          <w:kern w:val="0"/>
          <w:sz w:val="21"/>
          <w:szCs w:val="21"/>
        </w:rPr>
      </w:pPr>
      <w:r>
        <w:rPr>
          <w:rFonts w:hint="eastAsia" w:ascii="宋体" w:hAnsi="宋体" w:eastAsia="宋体" w:cs="宋体"/>
          <w:b w:val="0"/>
          <w:bCs w:val="0"/>
          <w:kern w:val="0"/>
          <w:sz w:val="21"/>
          <w:szCs w:val="21"/>
        </w:rPr>
        <w:t>12.工作时间：1min～99min 可调，级差 1min，允差±60s。</w:t>
      </w:r>
    </w:p>
    <w:p w14:paraId="4E3F0955">
      <w:pPr>
        <w:keepNext w:val="0"/>
        <w:keepLines w:val="0"/>
        <w:pageBreakBefore w:val="0"/>
        <w:widowControl/>
        <w:kinsoku/>
        <w:wordWrap/>
        <w:overflowPunct/>
        <w:topLinePunct w:val="0"/>
        <w:autoSpaceDE/>
        <w:autoSpaceDN/>
        <w:bidi w:val="0"/>
        <w:adjustRightInd/>
        <w:snapToGrid/>
        <w:spacing w:line="400" w:lineRule="exact"/>
        <w:rPr>
          <w:rFonts w:hint="eastAsia" w:ascii="宋体" w:hAnsi="宋体" w:eastAsia="宋体" w:cs="宋体"/>
          <w:b w:val="0"/>
          <w:bCs w:val="0"/>
          <w:kern w:val="0"/>
          <w:sz w:val="21"/>
          <w:szCs w:val="21"/>
        </w:rPr>
      </w:pPr>
      <w:r>
        <w:rPr>
          <w:rFonts w:hint="eastAsia" w:ascii="宋体" w:hAnsi="宋体" w:eastAsia="宋体" w:cs="宋体"/>
          <w:b w:val="0"/>
          <w:bCs w:val="0"/>
          <w:kern w:val="0"/>
          <w:sz w:val="21"/>
          <w:szCs w:val="21"/>
        </w:rPr>
        <w:t>13.具有双重独立的温度保护装置。</w:t>
      </w:r>
    </w:p>
    <w:p w14:paraId="38354C78">
      <w:pPr>
        <w:keepNext w:val="0"/>
        <w:keepLines w:val="0"/>
        <w:pageBreakBefore w:val="0"/>
        <w:widowControl/>
        <w:kinsoku/>
        <w:wordWrap/>
        <w:overflowPunct/>
        <w:topLinePunct w:val="0"/>
        <w:autoSpaceDE/>
        <w:autoSpaceDN/>
        <w:bidi w:val="0"/>
        <w:adjustRightInd/>
        <w:snapToGrid/>
        <w:spacing w:line="400" w:lineRule="exact"/>
        <w:rPr>
          <w:rFonts w:hint="eastAsia" w:ascii="宋体" w:hAnsi="宋体" w:eastAsia="宋体" w:cs="宋体"/>
          <w:b w:val="0"/>
          <w:bCs w:val="0"/>
          <w:kern w:val="0"/>
          <w:sz w:val="21"/>
          <w:szCs w:val="21"/>
        </w:rPr>
      </w:pPr>
      <w:r>
        <w:rPr>
          <w:rFonts w:hint="eastAsia" w:ascii="宋体" w:hAnsi="宋体" w:eastAsia="宋体" w:cs="宋体"/>
          <w:b w:val="0"/>
          <w:bCs w:val="0"/>
          <w:kern w:val="0"/>
          <w:sz w:val="21"/>
          <w:szCs w:val="21"/>
        </w:rPr>
        <w:t>▲14.红光和艾灸可单独或同时使用。</w:t>
      </w:r>
    </w:p>
    <w:p w14:paraId="0055F7CF">
      <w:pPr>
        <w:keepNext w:val="0"/>
        <w:keepLines w:val="0"/>
        <w:pageBreakBefore w:val="0"/>
        <w:widowControl/>
        <w:kinsoku/>
        <w:wordWrap/>
        <w:overflowPunct/>
        <w:topLinePunct w:val="0"/>
        <w:autoSpaceDE/>
        <w:autoSpaceDN/>
        <w:bidi w:val="0"/>
        <w:adjustRightInd/>
        <w:snapToGrid/>
        <w:spacing w:line="400" w:lineRule="exact"/>
        <w:rPr>
          <w:rFonts w:hint="eastAsia" w:ascii="宋体" w:hAnsi="宋体" w:eastAsia="宋体" w:cs="宋体"/>
          <w:b w:val="0"/>
          <w:bCs w:val="0"/>
          <w:kern w:val="0"/>
          <w:sz w:val="21"/>
          <w:szCs w:val="21"/>
        </w:rPr>
      </w:pPr>
      <w:r>
        <w:rPr>
          <w:rFonts w:hint="eastAsia" w:ascii="宋体" w:hAnsi="宋体" w:eastAsia="宋体" w:cs="宋体"/>
          <w:b w:val="0"/>
          <w:bCs w:val="0"/>
          <w:kern w:val="0"/>
          <w:sz w:val="21"/>
          <w:szCs w:val="21"/>
        </w:rPr>
        <w:t>15、具备防倾倒保护功能。</w:t>
      </w:r>
    </w:p>
    <w:p w14:paraId="7A7D0875">
      <w:pPr>
        <w:keepNext w:val="0"/>
        <w:keepLines w:val="0"/>
        <w:pageBreakBefore w:val="0"/>
        <w:widowControl/>
        <w:kinsoku/>
        <w:wordWrap/>
        <w:overflowPunct/>
        <w:topLinePunct w:val="0"/>
        <w:autoSpaceDE/>
        <w:autoSpaceDN/>
        <w:bidi w:val="0"/>
        <w:adjustRightInd/>
        <w:snapToGrid/>
        <w:spacing w:line="400" w:lineRule="exact"/>
        <w:rPr>
          <w:rFonts w:hint="eastAsia" w:ascii="宋体" w:hAnsi="宋体" w:eastAsia="宋体" w:cs="宋体"/>
          <w:b w:val="0"/>
          <w:bCs w:val="0"/>
          <w:kern w:val="0"/>
          <w:sz w:val="21"/>
          <w:szCs w:val="21"/>
        </w:rPr>
      </w:pPr>
      <w:r>
        <w:rPr>
          <w:rFonts w:hint="eastAsia" w:ascii="宋体" w:hAnsi="宋体" w:eastAsia="宋体" w:cs="宋体"/>
          <w:b w:val="0"/>
          <w:bCs w:val="0"/>
          <w:kern w:val="0"/>
          <w:sz w:val="21"/>
          <w:szCs w:val="21"/>
        </w:rPr>
        <w:t>16、显示方式：数码管显示。</w:t>
      </w:r>
    </w:p>
    <w:p w14:paraId="2FB2CD0B">
      <w:pPr>
        <w:keepNext w:val="0"/>
        <w:keepLines w:val="0"/>
        <w:pageBreakBefore w:val="0"/>
        <w:widowControl/>
        <w:kinsoku/>
        <w:wordWrap/>
        <w:overflowPunct/>
        <w:topLinePunct w:val="0"/>
        <w:autoSpaceDE/>
        <w:autoSpaceDN/>
        <w:bidi w:val="0"/>
        <w:adjustRightInd/>
        <w:snapToGrid/>
        <w:spacing w:line="400" w:lineRule="exact"/>
        <w:rPr>
          <w:rFonts w:hint="eastAsia" w:ascii="宋体" w:hAnsi="宋体" w:eastAsia="宋体" w:cs="宋体"/>
          <w:b w:val="0"/>
          <w:bCs w:val="0"/>
          <w:kern w:val="0"/>
          <w:sz w:val="21"/>
          <w:szCs w:val="21"/>
        </w:rPr>
      </w:pPr>
      <w:r>
        <w:rPr>
          <w:rFonts w:hint="eastAsia" w:ascii="宋体" w:hAnsi="宋体" w:eastAsia="宋体" w:cs="宋体"/>
          <w:b w:val="0"/>
          <w:bCs w:val="0"/>
          <w:kern w:val="0"/>
          <w:sz w:val="21"/>
          <w:szCs w:val="21"/>
        </w:rPr>
        <w:t>17、无烟灸疗，自动控温。</w:t>
      </w:r>
    </w:p>
    <w:p w14:paraId="4273D70B">
      <w:pPr>
        <w:keepNext w:val="0"/>
        <w:keepLines w:val="0"/>
        <w:pageBreakBefore w:val="0"/>
        <w:kinsoku/>
        <w:wordWrap/>
        <w:overflowPunct/>
        <w:topLinePunct w:val="0"/>
        <w:autoSpaceDE/>
        <w:autoSpaceDN/>
        <w:bidi w:val="0"/>
        <w:adjustRightInd/>
        <w:snapToGrid/>
        <w:spacing w:line="400" w:lineRule="exact"/>
        <w:jc w:val="left"/>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★四、质量保证</w:t>
      </w:r>
    </w:p>
    <w:p w14:paraId="632A456A">
      <w:pPr>
        <w:keepNext w:val="0"/>
        <w:keepLines w:val="0"/>
        <w:pageBreakBefore w:val="0"/>
        <w:kinsoku/>
        <w:wordWrap/>
        <w:overflowPunct/>
        <w:topLinePunct w:val="0"/>
        <w:autoSpaceDE/>
        <w:autoSpaceDN/>
        <w:bidi w:val="0"/>
        <w:adjustRightInd/>
        <w:snapToGrid/>
        <w:spacing w:line="400" w:lineRule="exact"/>
        <w:ind w:firstLine="420" w:firstLineChars="20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所提供产品是</w:t>
      </w:r>
      <w:r>
        <w:rPr>
          <w:rFonts w:hint="eastAsia" w:ascii="宋体" w:hAnsi="宋体" w:cs="宋体"/>
          <w:sz w:val="21"/>
          <w:szCs w:val="21"/>
          <w:lang w:val="en-US" w:eastAsia="zh-CN"/>
        </w:rPr>
        <w:t>最新、全新</w:t>
      </w:r>
      <w:r>
        <w:rPr>
          <w:rFonts w:hint="eastAsia" w:ascii="宋体" w:hAnsi="宋体" w:eastAsia="宋体" w:cs="宋体"/>
          <w:sz w:val="21"/>
          <w:szCs w:val="21"/>
          <w:lang w:val="en-US" w:eastAsia="zh-CN"/>
        </w:rPr>
        <w:t>、未使用过的，是根据采购人要求的材质制造而成的正品，并完全符合国家现行标准和技术规范，符合招标文件规定的质量、规格和性能的要求。投标人应保证其所提供产品在正确安装、正常使用和保养条件下，在其使用寿命内应具有满意的性能。</w:t>
      </w:r>
    </w:p>
    <w:p w14:paraId="0C34F58A">
      <w:pPr>
        <w:keepNext w:val="0"/>
        <w:keepLines w:val="0"/>
        <w:pageBreakBefore w:val="0"/>
        <w:kinsoku/>
        <w:wordWrap/>
        <w:overflowPunct/>
        <w:topLinePunct w:val="0"/>
        <w:autoSpaceDE/>
        <w:autoSpaceDN/>
        <w:bidi w:val="0"/>
        <w:adjustRightInd/>
        <w:snapToGrid/>
        <w:spacing w:line="400" w:lineRule="exact"/>
        <w:jc w:val="left"/>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★五、服务水平要求</w:t>
      </w:r>
    </w:p>
    <w:p w14:paraId="4BA9A090">
      <w:pPr>
        <w:keepNext w:val="0"/>
        <w:keepLines w:val="0"/>
        <w:pageBreakBefore w:val="0"/>
        <w:kinsoku/>
        <w:wordWrap/>
        <w:overflowPunct/>
        <w:topLinePunct w:val="0"/>
        <w:autoSpaceDE/>
        <w:autoSpaceDN/>
        <w:bidi w:val="0"/>
        <w:adjustRightInd/>
        <w:snapToGrid/>
        <w:spacing w:line="400" w:lineRule="exact"/>
        <w:ind w:firstLine="203" w:firstLineChars="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（一）供货运输保管计划</w:t>
      </w:r>
    </w:p>
    <w:p w14:paraId="6DE6C189">
      <w:pPr>
        <w:keepNext w:val="0"/>
        <w:keepLines w:val="0"/>
        <w:pageBreakBefore w:val="0"/>
        <w:kinsoku/>
        <w:wordWrap/>
        <w:overflowPunct/>
        <w:topLinePunct w:val="0"/>
        <w:autoSpaceDE/>
        <w:autoSpaceDN/>
        <w:bidi w:val="0"/>
        <w:adjustRightInd/>
        <w:snapToGrid/>
        <w:spacing w:line="400" w:lineRule="exact"/>
        <w:ind w:firstLine="420" w:firstLineChars="20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包括但不限于：供货计划流程、运输配送计划、保管计划，根据实际情况，设计针对性供货计划流程，确保工程质量、降低成本、缩短工期。根据《海南省绿色产品政府采购实施意见（试行）》琼财采规[2019]3号文，对本项目要求产品运输配送至采购人指定地点做出详细计划。产品到达用户指定地点后且在安装调试之前，做出完善的保管计划以保证产品的完整性、安全性。</w:t>
      </w:r>
    </w:p>
    <w:p w14:paraId="2A559C02">
      <w:pPr>
        <w:keepNext w:val="0"/>
        <w:keepLines w:val="0"/>
        <w:pageBreakBefore w:val="0"/>
        <w:kinsoku/>
        <w:wordWrap/>
        <w:overflowPunct/>
        <w:topLinePunct w:val="0"/>
        <w:autoSpaceDE/>
        <w:autoSpaceDN/>
        <w:bidi w:val="0"/>
        <w:adjustRightInd/>
        <w:snapToGrid/>
        <w:spacing w:line="400" w:lineRule="exact"/>
        <w:ind w:firstLine="203" w:firstLineChars="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（二）进度保证</w:t>
      </w:r>
    </w:p>
    <w:p w14:paraId="04E11EC4">
      <w:pPr>
        <w:keepNext w:val="0"/>
        <w:keepLines w:val="0"/>
        <w:pageBreakBefore w:val="0"/>
        <w:kinsoku/>
        <w:wordWrap/>
        <w:overflowPunct/>
        <w:topLinePunct w:val="0"/>
        <w:autoSpaceDE/>
        <w:autoSpaceDN/>
        <w:bidi w:val="0"/>
        <w:adjustRightInd/>
        <w:snapToGrid/>
        <w:spacing w:line="400" w:lineRule="exact"/>
        <w:ind w:firstLine="420" w:firstLineChars="20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包括但不限于：实施进度规划、执行与控制措施，根据本项目的实际情况，编制总进度规划，规划切实可靠。根据总进度规划，做出详细的执行与控制措施，确保本次项目按照采购文件要求的时限完成。本次项目时间紧任务重，要有对于本项目的实时进度情况和进度的把控，确保产品质量和生产进度能完美及时交付。</w:t>
      </w:r>
    </w:p>
    <w:p w14:paraId="16C1A461">
      <w:pPr>
        <w:keepNext w:val="0"/>
        <w:keepLines w:val="0"/>
        <w:pageBreakBefore w:val="0"/>
        <w:kinsoku/>
        <w:wordWrap/>
        <w:overflowPunct/>
        <w:topLinePunct w:val="0"/>
        <w:autoSpaceDE/>
        <w:autoSpaceDN/>
        <w:bidi w:val="0"/>
        <w:adjustRightInd/>
        <w:snapToGrid/>
        <w:spacing w:line="400" w:lineRule="exact"/>
        <w:jc w:val="left"/>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★六、履约能力要求</w:t>
      </w:r>
    </w:p>
    <w:p w14:paraId="3F55ADF8">
      <w:pPr>
        <w:keepNext w:val="0"/>
        <w:keepLines w:val="0"/>
        <w:pageBreakBefore w:val="0"/>
        <w:kinsoku/>
        <w:wordWrap/>
        <w:overflowPunct/>
        <w:topLinePunct w:val="0"/>
        <w:autoSpaceDE/>
        <w:autoSpaceDN/>
        <w:bidi w:val="0"/>
        <w:adjustRightInd/>
        <w:snapToGrid/>
        <w:spacing w:line="400" w:lineRule="exact"/>
        <w:ind w:firstLine="420" w:firstLineChars="20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包括但不限于：产品安装调试、产品验收的具体实施措施，本项目的产品需要现场安装，要有完善的具体实施措施加以保障，要有安全生产管理制度和安全隐患排除措施，有生产安全事故应急预案和事故处理预案，不得干扰采购人单位的正常秩序，安装调试结束，需恢复原貌、保持环境整洁；产品验收要求以“八、商务要求”中的验收方法及标准为准。</w:t>
      </w:r>
    </w:p>
    <w:p w14:paraId="2457261B">
      <w:pPr>
        <w:keepNext w:val="0"/>
        <w:keepLines w:val="0"/>
        <w:pageBreakBefore w:val="0"/>
        <w:kinsoku/>
        <w:wordWrap/>
        <w:overflowPunct/>
        <w:topLinePunct w:val="0"/>
        <w:autoSpaceDE/>
        <w:autoSpaceDN/>
        <w:bidi w:val="0"/>
        <w:adjustRightInd/>
        <w:snapToGrid/>
        <w:spacing w:line="400" w:lineRule="exact"/>
        <w:jc w:val="left"/>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★七、售后服务要求</w:t>
      </w:r>
    </w:p>
    <w:p w14:paraId="3B62F10C">
      <w:pPr>
        <w:keepNext w:val="0"/>
        <w:keepLines w:val="0"/>
        <w:pageBreakBefore w:val="0"/>
        <w:kinsoku/>
        <w:wordWrap/>
        <w:overflowPunct/>
        <w:topLinePunct w:val="0"/>
        <w:autoSpaceDE/>
        <w:autoSpaceDN/>
        <w:bidi w:val="0"/>
        <w:adjustRightInd/>
        <w:snapToGrid/>
        <w:spacing w:line="400" w:lineRule="exact"/>
        <w:ind w:firstLine="420" w:firstLineChars="20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包括但不限于：售后服务体系、售后服务团队配备、培训服务、售后问题的具体处理。售后服务体系：通过建立健全的服务体系及时响应处理采购人需求。供应商应统一服务申告渠道，设置售后服务电话，至少为采购人配备一名专职客户经理，专职处理采购人咨询、报障和投诉等业务。售后服务团队配备：为确保能为采购人提供及时周到的服务，需要配置专门的售后服务团队以方便采购人紧急时候的维护。培训服务：免费提供操作培训（≥2次，含现场指导及线上课程）。售后问题的具体处理：质保期不少于两年（适用于采购内容及技术要求中未明确的产品），质保期内，产品出现质量问题的，乙方应负责免费维修；由此给甲方造成损失的，相关费用由乙方承担；质保期内产品故障乙方应提供不低于同等档次设备供甲方使用至故障设备正常使用为止。质保期内的产品，因质量问题连续两次维修仍无法正常使用的，乙方必须予以更换同品牌、同型号的产品，相关费用由乙方承担。提供7×24小时技术支持和服务。质保期内，如产品出现问题，接到甲方电话通知后，1小时内作出实质性响应并到达指定现场。问题解决后24小时内，提交问题处理报告，说明问题种类、问题原因、问题解决中使用的方法及造成的损失等情况，质保期起算时间为安装调试并验收合格之日起。</w:t>
      </w:r>
    </w:p>
    <w:p w14:paraId="49E74A99">
      <w:pPr>
        <w:keepNext w:val="0"/>
        <w:keepLines w:val="0"/>
        <w:pageBreakBefore w:val="0"/>
        <w:kinsoku/>
        <w:wordWrap/>
        <w:overflowPunct/>
        <w:topLinePunct w:val="0"/>
        <w:autoSpaceDE/>
        <w:autoSpaceDN/>
        <w:bidi w:val="0"/>
        <w:adjustRightInd/>
        <w:snapToGrid/>
        <w:spacing w:line="400" w:lineRule="exact"/>
        <w:ind w:firstLine="420" w:firstLineChars="200"/>
        <w:jc w:val="left"/>
        <w:rPr>
          <w:rFonts w:hint="eastAsia" w:ascii="宋体" w:hAnsi="宋体" w:eastAsia="宋体" w:cs="宋体"/>
          <w:b/>
          <w:bCs/>
          <w:sz w:val="21"/>
          <w:szCs w:val="21"/>
          <w:lang w:val="en-US" w:eastAsia="zh-CN"/>
        </w:rPr>
      </w:pPr>
      <w:r>
        <w:rPr>
          <w:rFonts w:hint="eastAsia" w:ascii="宋体" w:hAnsi="宋体" w:eastAsia="宋体" w:cs="宋体"/>
          <w:sz w:val="21"/>
          <w:szCs w:val="21"/>
          <w:lang w:val="en-US" w:eastAsia="zh-CN"/>
        </w:rPr>
        <w:t>★</w:t>
      </w:r>
      <w:r>
        <w:rPr>
          <w:rFonts w:hint="eastAsia" w:ascii="宋体" w:hAnsi="宋体" w:eastAsia="宋体" w:cs="宋体"/>
          <w:b/>
          <w:bCs/>
          <w:sz w:val="21"/>
          <w:szCs w:val="21"/>
          <w:lang w:val="en-US" w:eastAsia="zh-CN"/>
        </w:rPr>
        <w:t>针对质保期内的故障报修服务，如供应商未能做到上述的服务承诺，采购人可采取必要的补救措施，但其风险和费用由供应商承担，且由于供应商的保证服务不到位，质保期的到期时间将顺延。供应商应针对上述质保期内的故障报修服务的内容提供对应的承诺函，格式自拟。</w:t>
      </w:r>
    </w:p>
    <w:p w14:paraId="505E02C9">
      <w:pPr>
        <w:keepNext w:val="0"/>
        <w:keepLines w:val="0"/>
        <w:pageBreakBefore w:val="0"/>
        <w:kinsoku/>
        <w:wordWrap/>
        <w:overflowPunct/>
        <w:topLinePunct w:val="0"/>
        <w:autoSpaceDE/>
        <w:autoSpaceDN/>
        <w:bidi w:val="0"/>
        <w:adjustRightInd/>
        <w:snapToGrid/>
        <w:spacing w:line="400" w:lineRule="exact"/>
        <w:jc w:val="left"/>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★八、商务要求</w:t>
      </w:r>
    </w:p>
    <w:p w14:paraId="6BE4B602">
      <w:pPr>
        <w:keepNext w:val="0"/>
        <w:keepLines w:val="0"/>
        <w:pageBreakBefore w:val="0"/>
        <w:kinsoku/>
        <w:wordWrap/>
        <w:overflowPunct/>
        <w:topLinePunct w:val="0"/>
        <w:autoSpaceDE/>
        <w:autoSpaceDN/>
        <w:bidi w:val="0"/>
        <w:adjustRightInd/>
        <w:snapToGrid/>
        <w:spacing w:line="400" w:lineRule="exact"/>
        <w:ind w:firstLine="203" w:firstLineChars="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（一）合同履行期限</w:t>
      </w:r>
    </w:p>
    <w:p w14:paraId="5FF21CFA">
      <w:pPr>
        <w:keepNext w:val="0"/>
        <w:keepLines w:val="0"/>
        <w:pageBreakBefore w:val="0"/>
        <w:kinsoku/>
        <w:wordWrap/>
        <w:overflowPunct/>
        <w:topLinePunct w:val="0"/>
        <w:autoSpaceDE/>
        <w:autoSpaceDN/>
        <w:bidi w:val="0"/>
        <w:adjustRightInd/>
        <w:snapToGrid/>
        <w:spacing w:line="400" w:lineRule="exact"/>
        <w:ind w:firstLine="420" w:firstLineChars="20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自合同签订之日起</w:t>
      </w:r>
      <w:r>
        <w:rPr>
          <w:rFonts w:hint="eastAsia" w:ascii="宋体" w:hAnsi="宋体" w:cs="宋体"/>
          <w:sz w:val="21"/>
          <w:szCs w:val="21"/>
          <w:lang w:val="en-US" w:eastAsia="zh-CN"/>
        </w:rPr>
        <w:t>一个月</w:t>
      </w:r>
      <w:r>
        <w:rPr>
          <w:rFonts w:hint="eastAsia" w:ascii="宋体" w:hAnsi="宋体" w:eastAsia="宋体" w:cs="宋体"/>
          <w:sz w:val="21"/>
          <w:szCs w:val="21"/>
          <w:lang w:val="en-US" w:eastAsia="zh-CN"/>
        </w:rPr>
        <w:t>。</w:t>
      </w:r>
    </w:p>
    <w:p w14:paraId="0816205B">
      <w:pPr>
        <w:keepNext w:val="0"/>
        <w:keepLines w:val="0"/>
        <w:pageBreakBefore w:val="0"/>
        <w:kinsoku/>
        <w:wordWrap/>
        <w:overflowPunct/>
        <w:topLinePunct w:val="0"/>
        <w:autoSpaceDE/>
        <w:autoSpaceDN/>
        <w:bidi w:val="0"/>
        <w:adjustRightInd/>
        <w:snapToGrid/>
        <w:spacing w:line="400" w:lineRule="exact"/>
        <w:ind w:firstLine="203" w:firstLineChars="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（二）交货地点（服务地点）</w:t>
      </w:r>
    </w:p>
    <w:p w14:paraId="7E676812">
      <w:pPr>
        <w:keepNext w:val="0"/>
        <w:keepLines w:val="0"/>
        <w:pageBreakBefore w:val="0"/>
        <w:kinsoku/>
        <w:wordWrap/>
        <w:overflowPunct/>
        <w:topLinePunct w:val="0"/>
        <w:autoSpaceDE/>
        <w:autoSpaceDN/>
        <w:bidi w:val="0"/>
        <w:adjustRightInd/>
        <w:snapToGrid/>
        <w:spacing w:line="400" w:lineRule="exact"/>
        <w:ind w:firstLine="420" w:firstLineChars="20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采购人指定地点。</w:t>
      </w:r>
    </w:p>
    <w:p w14:paraId="72EBF46B">
      <w:pPr>
        <w:keepNext w:val="0"/>
        <w:keepLines w:val="0"/>
        <w:pageBreakBefore w:val="0"/>
        <w:kinsoku/>
        <w:wordWrap/>
        <w:overflowPunct/>
        <w:topLinePunct w:val="0"/>
        <w:autoSpaceDE/>
        <w:autoSpaceDN/>
        <w:bidi w:val="0"/>
        <w:adjustRightInd/>
        <w:snapToGrid/>
        <w:spacing w:line="400" w:lineRule="exact"/>
        <w:ind w:firstLine="203" w:firstLineChars="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（三）付款时间、方式及条件</w:t>
      </w:r>
    </w:p>
    <w:p w14:paraId="5D289E21">
      <w:pPr>
        <w:keepNext w:val="0"/>
        <w:keepLines w:val="0"/>
        <w:pageBreakBefore w:val="0"/>
        <w:kinsoku/>
        <w:wordWrap/>
        <w:overflowPunct/>
        <w:topLinePunct w:val="0"/>
        <w:autoSpaceDE/>
        <w:autoSpaceDN/>
        <w:bidi w:val="0"/>
        <w:adjustRightInd/>
        <w:snapToGrid/>
        <w:spacing w:line="400" w:lineRule="exact"/>
        <w:ind w:firstLine="420" w:firstLineChars="20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双方签订合同后，甲方</w:t>
      </w:r>
      <w:r>
        <w:rPr>
          <w:rFonts w:hint="eastAsia" w:ascii="宋体" w:hAnsi="宋体" w:cs="宋体"/>
          <w:sz w:val="21"/>
          <w:szCs w:val="21"/>
          <w:lang w:val="en-US" w:eastAsia="zh-CN"/>
        </w:rPr>
        <w:t>收到正式合规发票后30天内</w:t>
      </w:r>
      <w:r>
        <w:rPr>
          <w:rFonts w:hint="eastAsia" w:ascii="宋体" w:hAnsi="宋体" w:eastAsia="宋体" w:cs="宋体"/>
          <w:sz w:val="21"/>
          <w:szCs w:val="21"/>
          <w:lang w:val="en-US" w:eastAsia="zh-CN"/>
        </w:rPr>
        <w:t>按合同支付70%预付款，乙方将产品全部运到甲方指定地点并安装，调试，培训完毕，经双方验收合格后，甲方</w:t>
      </w:r>
      <w:r>
        <w:rPr>
          <w:rFonts w:hint="eastAsia" w:ascii="宋体" w:hAnsi="宋体" w:cs="宋体"/>
          <w:sz w:val="21"/>
          <w:szCs w:val="21"/>
          <w:lang w:val="en-US" w:eastAsia="zh-CN"/>
        </w:rPr>
        <w:t>收到正式合规发票和银行质保函后30天内</w:t>
      </w:r>
      <w:r>
        <w:rPr>
          <w:rFonts w:hint="eastAsia" w:ascii="宋体" w:hAnsi="宋体" w:eastAsia="宋体" w:cs="宋体"/>
          <w:sz w:val="21"/>
          <w:szCs w:val="21"/>
          <w:lang w:val="en-US" w:eastAsia="zh-CN"/>
        </w:rPr>
        <w:t>按照合同支付剩下的进度款30%，乙方通过银行质保函方式预留3%合同金额，最终验收完成一年后设备无质量问题银行方可支付给乙方。</w:t>
      </w:r>
    </w:p>
    <w:p w14:paraId="74DCDF2D">
      <w:pPr>
        <w:keepNext w:val="0"/>
        <w:keepLines w:val="0"/>
        <w:pageBreakBefore w:val="0"/>
        <w:kinsoku/>
        <w:wordWrap/>
        <w:overflowPunct/>
        <w:topLinePunct w:val="0"/>
        <w:autoSpaceDE/>
        <w:autoSpaceDN/>
        <w:bidi w:val="0"/>
        <w:adjustRightInd/>
        <w:snapToGrid/>
        <w:spacing w:line="400" w:lineRule="exact"/>
        <w:ind w:firstLine="203" w:firstLineChars="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（四）验收方法及标准</w:t>
      </w:r>
    </w:p>
    <w:p w14:paraId="3185B0C5">
      <w:pPr>
        <w:keepNext w:val="0"/>
        <w:keepLines w:val="0"/>
        <w:pageBreakBefore w:val="0"/>
        <w:kinsoku/>
        <w:wordWrap/>
        <w:overflowPunct/>
        <w:topLinePunct w:val="0"/>
        <w:autoSpaceDE/>
        <w:autoSpaceDN/>
        <w:bidi w:val="0"/>
        <w:adjustRightInd/>
        <w:snapToGrid/>
        <w:spacing w:line="400" w:lineRule="exact"/>
        <w:ind w:firstLine="420" w:firstLineChars="20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按采购文件技术参数进行验收。验收时，成交供应商代表必须在场。采购人将对产品的质量、规格和数量进行检验，并出具验收意见。验收标准除成交供应商的响应文件所响应的质量、规格和数量外，可溯源到国家、行业相关标准。</w:t>
      </w:r>
    </w:p>
    <w:p w14:paraId="13FF8237">
      <w:pPr>
        <w:keepNext w:val="0"/>
        <w:keepLines w:val="0"/>
        <w:pageBreakBefore w:val="0"/>
        <w:kinsoku/>
        <w:wordWrap/>
        <w:overflowPunct/>
        <w:topLinePunct w:val="0"/>
        <w:autoSpaceDE/>
        <w:autoSpaceDN/>
        <w:bidi w:val="0"/>
        <w:adjustRightInd/>
        <w:snapToGrid/>
        <w:spacing w:line="400" w:lineRule="exact"/>
        <w:ind w:firstLine="420" w:firstLineChars="200"/>
        <w:jc w:val="left"/>
        <w:rPr>
          <w:rFonts w:hint="eastAsia" w:ascii="宋体" w:hAnsi="宋体" w:eastAsia="宋体" w:cs="宋体"/>
          <w:sz w:val="21"/>
          <w:szCs w:val="21"/>
          <w:lang w:val="en-US" w:eastAsia="zh-CN"/>
        </w:rPr>
      </w:pPr>
    </w:p>
    <w:p w14:paraId="0EC7CA67">
      <w:pPr>
        <w:keepNext w:val="0"/>
        <w:keepLines w:val="0"/>
        <w:pageBreakBefore w:val="0"/>
        <w:kinsoku/>
        <w:wordWrap/>
        <w:overflowPunct/>
        <w:topLinePunct w:val="0"/>
        <w:autoSpaceDE/>
        <w:autoSpaceDN/>
        <w:bidi w:val="0"/>
        <w:adjustRightInd/>
        <w:snapToGrid/>
        <w:spacing w:line="400" w:lineRule="exact"/>
        <w:ind w:firstLine="420" w:firstLineChars="20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注：标注“▲”条款为重要条款，“★”为实质性条款。</w:t>
      </w:r>
    </w:p>
    <w:p w14:paraId="41E7B57C">
      <w:pPr>
        <w:keepNext w:val="0"/>
        <w:keepLines w:val="0"/>
        <w:pageBreakBefore w:val="0"/>
        <w:kinsoku/>
        <w:wordWrap/>
        <w:overflowPunct/>
        <w:topLinePunct w:val="0"/>
        <w:autoSpaceDE/>
        <w:autoSpaceDN/>
        <w:bidi w:val="0"/>
        <w:adjustRightInd/>
        <w:snapToGrid/>
        <w:spacing w:line="400" w:lineRule="exact"/>
        <w:ind w:firstLine="420" w:firstLineChars="200"/>
        <w:jc w:val="left"/>
        <w:rPr>
          <w:rFonts w:hint="eastAsia" w:ascii="宋体" w:hAnsi="宋体" w:eastAsia="宋体" w:cs="宋体"/>
          <w:sz w:val="21"/>
          <w:szCs w:val="21"/>
          <w:lang w:val="en-US" w:eastAsia="zh-CN"/>
        </w:rPr>
      </w:pPr>
    </w:p>
    <w:p w14:paraId="322A9B3F">
      <w:pPr>
        <w:keepNext w:val="0"/>
        <w:keepLines w:val="0"/>
        <w:pageBreakBefore w:val="0"/>
        <w:kinsoku/>
        <w:wordWrap/>
        <w:overflowPunct/>
        <w:topLinePunct w:val="0"/>
        <w:autoSpaceDE/>
        <w:autoSpaceDN/>
        <w:bidi w:val="0"/>
        <w:adjustRightInd/>
        <w:snapToGrid/>
        <w:spacing w:line="400" w:lineRule="exact"/>
      </w:pPr>
    </w:p>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81EAC5">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F19E3E">
                          <w:pPr>
                            <w:pStyle w:val="6"/>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CF19E3E">
                    <w:pPr>
                      <w:pStyle w:val="6"/>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E55CBD">
    <w:pPr>
      <w:pStyle w:val="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2B1413A"/>
    <w:rsid w:val="09B64F07"/>
    <w:rsid w:val="0A910160"/>
    <w:rsid w:val="185F3E12"/>
    <w:rsid w:val="25671D16"/>
    <w:rsid w:val="258E19E9"/>
    <w:rsid w:val="31D574D0"/>
    <w:rsid w:val="3CBC5B13"/>
    <w:rsid w:val="3D55700F"/>
    <w:rsid w:val="3DCB07F8"/>
    <w:rsid w:val="5BA47325"/>
    <w:rsid w:val="72B1413A"/>
    <w:rsid w:val="7905432A"/>
    <w:rsid w:val="7C5B15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3"/>
    <w:basedOn w:val="1"/>
    <w:next w:val="1"/>
    <w:qFormat/>
    <w:uiPriority w:val="0"/>
    <w:pPr>
      <w:keepNext/>
      <w:keepLines/>
      <w:spacing w:before="260" w:after="260" w:line="413" w:lineRule="auto"/>
      <w:outlineLvl w:val="2"/>
    </w:pPr>
    <w:rPr>
      <w:b/>
      <w:sz w:val="32"/>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4">
    <w:name w:val="caption"/>
    <w:basedOn w:val="1"/>
    <w:next w:val="1"/>
    <w:qFormat/>
    <w:uiPriority w:val="0"/>
    <w:pPr>
      <w:spacing w:line="360" w:lineRule="auto"/>
    </w:pPr>
    <w:rPr>
      <w:rFonts w:ascii="Arial" w:hAnsi="Arial" w:eastAsia="黑体"/>
      <w:sz w:val="20"/>
      <w:szCs w:val="20"/>
    </w:rPr>
  </w:style>
  <w:style w:type="paragraph" w:styleId="5">
    <w:name w:val="annotation text"/>
    <w:basedOn w:val="1"/>
    <w:qFormat/>
    <w:uiPriority w:val="0"/>
    <w:pPr>
      <w:jc w:val="left"/>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next w:val="4"/>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rFonts w:ascii="Times New Roman" w:hAnsi="Times New Roman"/>
      <w:sz w:val="18"/>
    </w:rPr>
  </w:style>
  <w:style w:type="paragraph" w:styleId="8">
    <w:name w:val="Body Text 2"/>
    <w:basedOn w:val="1"/>
    <w:qFormat/>
    <w:uiPriority w:val="0"/>
    <w:pPr>
      <w:spacing w:after="120" w:line="480" w:lineRule="auto"/>
    </w:pPr>
  </w:style>
  <w:style w:type="character" w:styleId="11">
    <w:name w:val="Strong"/>
    <w:basedOn w:val="10"/>
    <w:qFormat/>
    <w:uiPriority w:val="22"/>
    <w:rPr>
      <w:b/>
      <w:bCs/>
    </w:rPr>
  </w:style>
  <w:style w:type="paragraph" w:styleId="12">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2213</Words>
  <Characters>2330</Characters>
  <Lines>0</Lines>
  <Paragraphs>0</Paragraphs>
  <TotalTime>6</TotalTime>
  <ScaleCrop>false</ScaleCrop>
  <LinksUpToDate>false</LinksUpToDate>
  <CharactersWithSpaces>2336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2026-04-01T02:02:00Z</dcterms:created>
  <dc:creator>爆炸的榴莲</dc:creator>
  <cp:lastModifiedBy>鱼</cp:lastModifiedBy>
  <dcterms:modified xsi:type="dcterms:W3CDTF">2026-10-26T07:33:46Z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A855FB612A634889B02756B92ACCB4BB_13</vt:lpwstr>
  </property>
  <property fmtid="{D5CDD505-2E9C-101B-9397-08002B2CF9AE}" pid="4" name="KSOTemplateDocerSaveRecord">
    <vt:lpwstr>eyJoZGlkIjoiNTc2ZGVjNmUyNjE5MWIzODRmNmU2ODBjODU2NDI3NzEiLCJ1c2VySWQiOiIzNjc0MTA2MzgifQ==</vt:lpwstr>
  </property>
</Properties>
</file>