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907AA">
      <w:pPr>
        <w:pStyle w:val="6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海南省青少年心理健康医学中心红外光灸疗机采购项目</w:t>
      </w:r>
    </w:p>
    <w:p w14:paraId="4FFD9636">
      <w:pPr>
        <w:pStyle w:val="6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综合评分表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414"/>
        <w:gridCol w:w="6190"/>
        <w:gridCol w:w="918"/>
      </w:tblGrid>
      <w:tr w14:paraId="18A42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2" w:type="dxa"/>
            <w:tcBorders>
              <w:right w:val="single" w:color="auto" w:sz="4" w:space="0"/>
            </w:tcBorders>
            <w:noWrap w:val="0"/>
            <w:vAlign w:val="center"/>
          </w:tcPr>
          <w:p w14:paraId="0FBCB1B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27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A639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评审因素</w:t>
            </w:r>
          </w:p>
        </w:tc>
        <w:tc>
          <w:tcPr>
            <w:tcW w:w="557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38D2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评审内容</w:t>
            </w:r>
          </w:p>
        </w:tc>
        <w:tc>
          <w:tcPr>
            <w:tcW w:w="827" w:type="dxa"/>
            <w:tcBorders>
              <w:left w:val="single" w:color="auto" w:sz="4" w:space="0"/>
            </w:tcBorders>
            <w:noWrap w:val="0"/>
            <w:vAlign w:val="center"/>
          </w:tcPr>
          <w:p w14:paraId="5935F57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分值</w:t>
            </w:r>
          </w:p>
        </w:tc>
      </w:tr>
      <w:tr w14:paraId="634C0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0" w:hRule="exact"/>
          <w:jc w:val="center"/>
        </w:trPr>
        <w:tc>
          <w:tcPr>
            <w:tcW w:w="842" w:type="dxa"/>
            <w:tcBorders>
              <w:right w:val="single" w:color="auto" w:sz="4" w:space="0"/>
            </w:tcBorders>
            <w:noWrap w:val="0"/>
            <w:vAlign w:val="center"/>
          </w:tcPr>
          <w:p w14:paraId="2EFBC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27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91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采购需求响应情况</w:t>
            </w:r>
          </w:p>
        </w:tc>
        <w:tc>
          <w:tcPr>
            <w:tcW w:w="557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2D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技术参数完全满足或优于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文件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中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采购需求技术参数要求的得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6分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2D112D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号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条款一共有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项，优于或完全符合技术参数要求的，得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每有一项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号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条款不满足的扣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本小项满分共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分。</w:t>
            </w:r>
          </w:p>
          <w:p w14:paraId="0632FF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非标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号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条款一共有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项，优于或完全符合技术参数要求的，得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每有一项非标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号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条款不满足的扣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分。本小项满分共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分。</w:t>
            </w:r>
          </w:p>
          <w:p w14:paraId="69875C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注:如若采购需求中参数条款要求提供相关证明材料，未提供则该项不得分。</w:t>
            </w:r>
          </w:p>
        </w:tc>
        <w:tc>
          <w:tcPr>
            <w:tcW w:w="827" w:type="dxa"/>
            <w:tcBorders>
              <w:left w:val="single" w:color="auto" w:sz="4" w:space="0"/>
            </w:tcBorders>
            <w:noWrap w:val="0"/>
            <w:vAlign w:val="center"/>
          </w:tcPr>
          <w:p w14:paraId="530A6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46</w:t>
            </w:r>
          </w:p>
        </w:tc>
      </w:tr>
      <w:tr w14:paraId="0B9BC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842" w:type="dxa"/>
            <w:noWrap w:val="0"/>
            <w:vAlign w:val="center"/>
          </w:tcPr>
          <w:p w14:paraId="0F07F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274" w:type="dxa"/>
            <w:noWrap w:val="0"/>
            <w:vAlign w:val="center"/>
          </w:tcPr>
          <w:p w14:paraId="6855C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业绩</w:t>
            </w:r>
          </w:p>
        </w:tc>
        <w:tc>
          <w:tcPr>
            <w:tcW w:w="5579" w:type="dxa"/>
            <w:noWrap w:val="0"/>
            <w:vAlign w:val="center"/>
          </w:tcPr>
          <w:p w14:paraId="03E28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供应商须提供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2024年1月1日至今，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承接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过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的类似项目业绩，每提供一个业绩得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2分，满分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分，</w:t>
            </w:r>
          </w:p>
          <w:p w14:paraId="193DA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证明材料：提供合同复印件（以合同签订时间为准），加盖公章。</w:t>
            </w:r>
          </w:p>
        </w:tc>
        <w:tc>
          <w:tcPr>
            <w:tcW w:w="827" w:type="dxa"/>
            <w:noWrap w:val="0"/>
            <w:vAlign w:val="center"/>
          </w:tcPr>
          <w:p w14:paraId="72345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</w:tr>
      <w:tr w14:paraId="03E1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8" w:hRule="exact"/>
          <w:jc w:val="center"/>
        </w:trPr>
        <w:tc>
          <w:tcPr>
            <w:tcW w:w="842" w:type="dxa"/>
            <w:noWrap w:val="0"/>
            <w:vAlign w:val="center"/>
          </w:tcPr>
          <w:p w14:paraId="00674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274" w:type="dxa"/>
            <w:noWrap w:val="0"/>
            <w:vAlign w:val="center"/>
          </w:tcPr>
          <w:p w14:paraId="66F41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整体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实施方案</w:t>
            </w:r>
          </w:p>
        </w:tc>
        <w:tc>
          <w:tcPr>
            <w:tcW w:w="5579" w:type="dxa"/>
            <w:noWrap w:val="0"/>
            <w:vAlign w:val="center"/>
          </w:tcPr>
          <w:p w14:paraId="324CB9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3" w:rightChars="6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提供的项目实施方案内容包括但不限于:供货计划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供货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保障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措施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质量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保障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人员配备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安装调式等因素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评审专家根据投标人提供的项目实施方案进行评审赋分:满分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分，每缺少一项内容扣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1.2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分；在方案小项不缺项或者不漏项的前提下，方案每存在一处缺陷扣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0.4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分（内容缺陷是指:内容非专门针对本项目或不适用项目特性的情形、内容不够完整或缺少关键节点、套用其他项目方案、内容前后条盾、涉及的规范及标准错误、不利于项目实施、不可能实现的情形等任意一种情形）。</w:t>
            </w:r>
          </w:p>
        </w:tc>
        <w:tc>
          <w:tcPr>
            <w:tcW w:w="827" w:type="dxa"/>
            <w:noWrap w:val="0"/>
            <w:vAlign w:val="center"/>
          </w:tcPr>
          <w:p w14:paraId="2FE55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</w:tr>
      <w:tr w14:paraId="670AE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0" w:hRule="exact"/>
          <w:jc w:val="center"/>
        </w:trPr>
        <w:tc>
          <w:tcPr>
            <w:tcW w:w="842" w:type="dxa"/>
            <w:noWrap w:val="0"/>
            <w:vAlign w:val="center"/>
          </w:tcPr>
          <w:p w14:paraId="77EAB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274" w:type="dxa"/>
            <w:noWrap w:val="0"/>
            <w:vAlign w:val="center"/>
          </w:tcPr>
          <w:p w14:paraId="66004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售后服务方案</w:t>
            </w:r>
          </w:p>
        </w:tc>
        <w:tc>
          <w:tcPr>
            <w:tcW w:w="5579" w:type="dxa"/>
            <w:noWrap w:val="0"/>
            <w:vAlign w:val="center"/>
          </w:tcPr>
          <w:p w14:paraId="4877FB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3" w:rightChars="6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供应商提供的售后服务方案内容包括但不限于:售后服务范围、质保期内的承诺、售后服务计划和措施、售后服务团队配置、质保期满后的相关服务等因素，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评审专家根据投标人提供的项目实施方案进行评审赋分: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满分5分，每缺少一项内容扣1分；在方案小项不缺项或者不漏项的前提下，方案每存在一处缺陷扣0.25分（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内容缺陷是指:内容非专门针对本项目或不适用项目特性的情形、内容不够完整或缺少关键节点、套用其他项目方案、内容前后条盾、涉及的规范及标准错误、不利于项目实施、不可能实现的情形等任意一种情形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）。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 xml:space="preserve"> </w:t>
            </w:r>
          </w:p>
        </w:tc>
        <w:tc>
          <w:tcPr>
            <w:tcW w:w="827" w:type="dxa"/>
            <w:noWrap w:val="0"/>
            <w:vAlign w:val="center"/>
          </w:tcPr>
          <w:p w14:paraId="068CE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</w:tr>
      <w:tr w14:paraId="0A8C2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exact"/>
          <w:jc w:val="center"/>
        </w:trPr>
        <w:tc>
          <w:tcPr>
            <w:tcW w:w="842" w:type="dxa"/>
            <w:noWrap w:val="0"/>
            <w:vAlign w:val="center"/>
          </w:tcPr>
          <w:p w14:paraId="703F9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274" w:type="dxa"/>
            <w:noWrap w:val="0"/>
            <w:vAlign w:val="center"/>
          </w:tcPr>
          <w:p w14:paraId="11FFD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项目培训方案</w:t>
            </w:r>
          </w:p>
        </w:tc>
        <w:tc>
          <w:tcPr>
            <w:tcW w:w="5579" w:type="dxa"/>
            <w:noWrap w:val="0"/>
            <w:vAlign w:val="center"/>
          </w:tcPr>
          <w:p w14:paraId="21EDC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供应商提供的项目培训方案内容包括但不限于:培训计划、培训时间安排、培训对象、培训目标内容、培训系统操作等因素，评审专家根据投标人提供的项目实施方案进行评审赋分:满分5分，每缺少一项内容扣1分；在方案小项不缺项或者不漏项的前提下，方案每存在一处缺陷扣0.25分（内容缺陷是指:内容非专门针对本项目或不适用项目特性的情形、内容不够完整或缺少关键节点、套用其他项目方案、内容前后条盾、涉及的规范及标准错误、不利于项目实施、不可能实现的情形等任意一种情形）。</w:t>
            </w:r>
          </w:p>
        </w:tc>
        <w:tc>
          <w:tcPr>
            <w:tcW w:w="827" w:type="dxa"/>
            <w:noWrap w:val="0"/>
            <w:vAlign w:val="center"/>
          </w:tcPr>
          <w:p w14:paraId="60BF1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</w:tr>
      <w:tr w14:paraId="69F87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8" w:hRule="exact"/>
          <w:jc w:val="center"/>
        </w:trPr>
        <w:tc>
          <w:tcPr>
            <w:tcW w:w="842" w:type="dxa"/>
            <w:noWrap w:val="0"/>
            <w:vAlign w:val="center"/>
          </w:tcPr>
          <w:p w14:paraId="0890F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274" w:type="dxa"/>
            <w:noWrap w:val="0"/>
            <w:vAlign w:val="center"/>
          </w:tcPr>
          <w:p w14:paraId="59926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应急预案方案</w:t>
            </w:r>
          </w:p>
        </w:tc>
        <w:tc>
          <w:tcPr>
            <w:tcW w:w="5579" w:type="dxa"/>
            <w:noWrap w:val="0"/>
            <w:vAlign w:val="center"/>
          </w:tcPr>
          <w:p w14:paraId="3441C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供应商提供的应急预案方案内容包括但不限于:突发事件响应时间、突发故障维修响应时限承诺、应急处置处理、应急支援保障等因素，满分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分，每缺少一项内容扣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分；在方案小项不缺项或者不漏项的前提下，方案每存在一处缺陷扣0.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分（内容缺陷是指:内容非专门针对本项目或不适用项目特性的情形、内容不够完整或缺少关键节点、套用其他项目方案、内容前后条盾、涉及的规范及标准错误、不利于项目实施、不可能实现的情形等任意一种情形）。</w:t>
            </w:r>
          </w:p>
        </w:tc>
        <w:tc>
          <w:tcPr>
            <w:tcW w:w="827" w:type="dxa"/>
            <w:noWrap w:val="0"/>
            <w:vAlign w:val="center"/>
          </w:tcPr>
          <w:p w14:paraId="51A31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</w:tr>
      <w:tr w14:paraId="2AEC9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9" w:hRule="exact"/>
          <w:jc w:val="center"/>
        </w:trPr>
        <w:tc>
          <w:tcPr>
            <w:tcW w:w="842" w:type="dxa"/>
            <w:noWrap w:val="0"/>
            <w:vAlign w:val="center"/>
          </w:tcPr>
          <w:p w14:paraId="3BA64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274" w:type="dxa"/>
            <w:tcBorders>
              <w:right w:val="single" w:color="auto" w:sz="4" w:space="0"/>
            </w:tcBorders>
            <w:noWrap w:val="0"/>
            <w:vAlign w:val="center"/>
          </w:tcPr>
          <w:p w14:paraId="02AD6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价格得分</w:t>
            </w:r>
          </w:p>
        </w:tc>
        <w:tc>
          <w:tcPr>
            <w:tcW w:w="5579" w:type="dxa"/>
            <w:tcBorders>
              <w:left w:val="single" w:color="auto" w:sz="4" w:space="0"/>
            </w:tcBorders>
            <w:noWrap w:val="0"/>
            <w:vAlign w:val="center"/>
          </w:tcPr>
          <w:p w14:paraId="4B39E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价格分统一采用低价优先法计算，将通过资格审查和符合性审查环节的所有投标人的投标价格，即满足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文件要求且价格最低的投标价为基准价，其价格分为满分。其他投标人的价格分统一按照下列公式计算：</w:t>
            </w:r>
          </w:p>
          <w:p w14:paraId="47F33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价格分=|基准价／投标报价|×价格权值×100</w:t>
            </w:r>
          </w:p>
          <w:p w14:paraId="3418B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注：如出现异常低价，根据《关于推动解决政府采购异常低价问题的通知》（财库〔2026〕2号）等相关规定执行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，低于预算金额65%将启动异常低价审查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。</w:t>
            </w:r>
          </w:p>
        </w:tc>
        <w:tc>
          <w:tcPr>
            <w:tcW w:w="827" w:type="dxa"/>
            <w:noWrap w:val="0"/>
            <w:vAlign w:val="center"/>
          </w:tcPr>
          <w:p w14:paraId="300B7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</w:tr>
      <w:tr w14:paraId="20B70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842" w:type="dxa"/>
            <w:noWrap w:val="0"/>
            <w:vAlign w:val="center"/>
          </w:tcPr>
          <w:p w14:paraId="71A154BC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6853" w:type="dxa"/>
            <w:gridSpan w:val="2"/>
            <w:noWrap w:val="0"/>
            <w:vAlign w:val="center"/>
          </w:tcPr>
          <w:p w14:paraId="51438969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合计</w:t>
            </w:r>
          </w:p>
        </w:tc>
        <w:tc>
          <w:tcPr>
            <w:tcW w:w="827" w:type="dxa"/>
            <w:noWrap w:val="0"/>
            <w:vAlign w:val="center"/>
          </w:tcPr>
          <w:p w14:paraId="25F1887E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100</w:t>
            </w:r>
          </w:p>
        </w:tc>
      </w:tr>
    </w:tbl>
    <w:p w14:paraId="741A8BAB"/>
    <w:p w14:paraId="103E8356"/>
    <w:p w14:paraId="77AEE854">
      <w:pPr>
        <w:rPr>
          <w:rFonts w:hint="default"/>
          <w:b/>
          <w:bCs/>
          <w:sz w:val="22"/>
          <w:szCs w:val="28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286" w:bottom="1440" w:left="13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558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0C0A70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0C0A70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8782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329C5B"/>
    <w:multiLevelType w:val="singleLevel"/>
    <w:tmpl w:val="39329C5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F143C"/>
    <w:rsid w:val="0EC46644"/>
    <w:rsid w:val="41C35223"/>
    <w:rsid w:val="49AD67DB"/>
    <w:rsid w:val="4C9F143C"/>
    <w:rsid w:val="63AE6E17"/>
    <w:rsid w:val="7943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1420</Words>
  <Characters>1455</Characters>
  <Lines>0</Lines>
  <Paragraphs>0</Paragraphs>
  <TotalTime>0</TotalTime>
  <ScaleCrop>false</ScaleCrop>
  <LinksUpToDate>false</LinksUpToDate>
  <CharactersWithSpaces>1456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2026-10-11T13:19:00Z</dcterms:created>
  <dc:creator>爆炸的榴莲</dc:creator>
  <cp:lastModifiedBy>鱼</cp:lastModifiedBy>
  <cp:lastPrinted>2026-10-12T06:56:00Z</cp:lastPrinted>
  <dcterms:modified xsi:type="dcterms:W3CDTF">2026-10-16T06:46:40Z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CCD21603429E4F5EAA80221209308E3A_11</vt:lpwstr>
  </property>
  <property fmtid="{D5CDD505-2E9C-101B-9397-08002B2CF9AE}" pid="4" name="KSOTemplateDocerSaveRecord">
    <vt:lpwstr>eyJoZGlkIjoiNTc2ZGVjNmUyNjE5MWIzODRmNmU2ODBjODU2NDI3NzEiLCJ1c2VySWQiOiIzNjc0MTA2MzgifQ==</vt:lpwstr>
  </property>
</Properties>
</file>